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F90" w:rsidRPr="00F27D9D" w:rsidRDefault="00F27D9D" w:rsidP="00F27D9D">
      <w:pPr>
        <w:pStyle w:val="Textosinformato"/>
        <w:spacing w:line="360" w:lineRule="auto"/>
        <w:jc w:val="both"/>
        <w:rPr>
          <w:rFonts w:ascii="Arial" w:hAnsi="Arial" w:cs="Arial"/>
          <w:b/>
          <w:sz w:val="22"/>
          <w:szCs w:val="22"/>
          <w:u w:val="single"/>
        </w:rPr>
      </w:pPr>
      <w:r w:rsidRPr="00F27D9D">
        <w:rPr>
          <w:rFonts w:ascii="Arial" w:hAnsi="Arial" w:cs="Arial"/>
          <w:b/>
          <w:sz w:val="22"/>
          <w:szCs w:val="22"/>
          <w:u w:val="single"/>
        </w:rPr>
        <w:t>De la prescripción de las obligaciones tributaria a partir de la vigencia del nuevo Código Civil y Comercial de la Nación.</w:t>
      </w:r>
      <w:r w:rsidR="00455BC8">
        <w:rPr>
          <w:rFonts w:ascii="Arial" w:hAnsi="Arial" w:cs="Arial"/>
          <w:b/>
          <w:sz w:val="22"/>
          <w:szCs w:val="22"/>
          <w:u w:val="single"/>
        </w:rPr>
        <w:t xml:space="preserve"> Del alcance a otros modos de extinción de las obligaciones tributarias.</w:t>
      </w:r>
    </w:p>
    <w:p w:rsidR="00F60E68" w:rsidRDefault="00F60E68" w:rsidP="00F60E68">
      <w:pPr>
        <w:pStyle w:val="Textosinformato"/>
        <w:spacing w:line="360" w:lineRule="auto"/>
        <w:jc w:val="both"/>
        <w:rPr>
          <w:rFonts w:ascii="Arial" w:hAnsi="Arial" w:cs="Arial"/>
          <w:sz w:val="22"/>
          <w:szCs w:val="22"/>
        </w:rPr>
      </w:pPr>
    </w:p>
    <w:p w:rsidR="00F60E68" w:rsidRDefault="00F60E68" w:rsidP="00F60E68">
      <w:pPr>
        <w:pStyle w:val="Textosinformato"/>
        <w:numPr>
          <w:ilvl w:val="0"/>
          <w:numId w:val="1"/>
        </w:numPr>
        <w:spacing w:line="360" w:lineRule="auto"/>
        <w:jc w:val="both"/>
        <w:rPr>
          <w:rFonts w:ascii="Arial" w:hAnsi="Arial" w:cs="Arial"/>
          <w:sz w:val="22"/>
          <w:szCs w:val="22"/>
        </w:rPr>
      </w:pPr>
      <w:r>
        <w:rPr>
          <w:rFonts w:ascii="Arial" w:hAnsi="Arial" w:cs="Arial"/>
          <w:sz w:val="22"/>
          <w:szCs w:val="22"/>
        </w:rPr>
        <w:t>Introducción.</w:t>
      </w:r>
      <w:r w:rsidR="0011272C">
        <w:rPr>
          <w:rFonts w:ascii="Arial" w:hAnsi="Arial" w:cs="Arial"/>
          <w:sz w:val="22"/>
          <w:szCs w:val="22"/>
        </w:rPr>
        <w:t xml:space="preserve"> La jurisprudencia de la Corte Suprema de Justicia de la Nación.</w:t>
      </w:r>
    </w:p>
    <w:p w:rsidR="00F60E68" w:rsidRDefault="0011272C" w:rsidP="00F60E68">
      <w:pPr>
        <w:pStyle w:val="Textosinformato"/>
        <w:numPr>
          <w:ilvl w:val="0"/>
          <w:numId w:val="1"/>
        </w:numPr>
        <w:spacing w:line="360" w:lineRule="auto"/>
        <w:jc w:val="both"/>
        <w:rPr>
          <w:rFonts w:ascii="Arial" w:hAnsi="Arial" w:cs="Arial"/>
          <w:sz w:val="22"/>
          <w:szCs w:val="22"/>
        </w:rPr>
      </w:pPr>
      <w:r>
        <w:rPr>
          <w:rFonts w:ascii="Arial" w:hAnsi="Arial" w:cs="Arial"/>
          <w:sz w:val="22"/>
          <w:szCs w:val="22"/>
        </w:rPr>
        <w:t>El art. 2532 del Código Civil y Comercial de la Nación. Incidencia.</w:t>
      </w:r>
    </w:p>
    <w:p w:rsidR="0011272C" w:rsidRDefault="0011272C" w:rsidP="0011272C">
      <w:pPr>
        <w:pStyle w:val="Textosinformato"/>
        <w:numPr>
          <w:ilvl w:val="1"/>
          <w:numId w:val="1"/>
        </w:numPr>
        <w:spacing w:line="360" w:lineRule="auto"/>
        <w:jc w:val="both"/>
        <w:rPr>
          <w:rFonts w:ascii="Arial" w:hAnsi="Arial" w:cs="Arial"/>
          <w:sz w:val="22"/>
          <w:szCs w:val="22"/>
        </w:rPr>
      </w:pPr>
      <w:r>
        <w:rPr>
          <w:rFonts w:ascii="Arial" w:hAnsi="Arial" w:cs="Arial"/>
          <w:sz w:val="22"/>
          <w:szCs w:val="22"/>
        </w:rPr>
        <w:t>En materia de prescripción.</w:t>
      </w:r>
    </w:p>
    <w:p w:rsidR="0011272C" w:rsidRDefault="0011272C" w:rsidP="0011272C">
      <w:pPr>
        <w:pStyle w:val="Textosinformato"/>
        <w:numPr>
          <w:ilvl w:val="1"/>
          <w:numId w:val="1"/>
        </w:numPr>
        <w:spacing w:line="360" w:lineRule="auto"/>
        <w:jc w:val="both"/>
        <w:rPr>
          <w:rFonts w:ascii="Arial" w:hAnsi="Arial" w:cs="Arial"/>
          <w:sz w:val="22"/>
          <w:szCs w:val="22"/>
        </w:rPr>
      </w:pPr>
      <w:r>
        <w:rPr>
          <w:rFonts w:ascii="Arial" w:hAnsi="Arial" w:cs="Arial"/>
          <w:sz w:val="22"/>
          <w:szCs w:val="22"/>
        </w:rPr>
        <w:t>Indirecta. En otros modos de extinción de la obligación tributaria.</w:t>
      </w:r>
    </w:p>
    <w:p w:rsidR="0011272C" w:rsidRDefault="0011272C" w:rsidP="0011272C">
      <w:pPr>
        <w:pStyle w:val="Textosinformato"/>
        <w:numPr>
          <w:ilvl w:val="0"/>
          <w:numId w:val="1"/>
        </w:numPr>
        <w:spacing w:line="360" w:lineRule="auto"/>
        <w:jc w:val="both"/>
        <w:rPr>
          <w:rFonts w:ascii="Arial" w:hAnsi="Arial" w:cs="Arial"/>
          <w:sz w:val="22"/>
          <w:szCs w:val="22"/>
        </w:rPr>
      </w:pPr>
      <w:r>
        <w:rPr>
          <w:rFonts w:ascii="Arial" w:hAnsi="Arial" w:cs="Arial"/>
          <w:sz w:val="22"/>
          <w:szCs w:val="22"/>
        </w:rPr>
        <w:t>Por qué la Corte tenía esa jurisprudencia. De las consecuencias no queridas de la reforma.</w:t>
      </w:r>
    </w:p>
    <w:p w:rsidR="0011272C" w:rsidRDefault="0011272C" w:rsidP="0011272C">
      <w:pPr>
        <w:pStyle w:val="Textosinformato"/>
        <w:numPr>
          <w:ilvl w:val="0"/>
          <w:numId w:val="1"/>
        </w:numPr>
        <w:spacing w:line="360" w:lineRule="auto"/>
        <w:jc w:val="both"/>
        <w:rPr>
          <w:rFonts w:ascii="Arial" w:hAnsi="Arial" w:cs="Arial"/>
          <w:sz w:val="22"/>
          <w:szCs w:val="22"/>
        </w:rPr>
      </w:pPr>
      <w:r>
        <w:rPr>
          <w:rFonts w:ascii="Arial" w:hAnsi="Arial" w:cs="Arial"/>
          <w:sz w:val="22"/>
          <w:szCs w:val="22"/>
        </w:rPr>
        <w:t>Conclusiones.</w:t>
      </w:r>
    </w:p>
    <w:p w:rsidR="00F60E68" w:rsidRDefault="00F60E68" w:rsidP="00157936">
      <w:pPr>
        <w:pStyle w:val="Textosinformato"/>
        <w:spacing w:line="360" w:lineRule="auto"/>
        <w:ind w:firstLine="1985"/>
        <w:jc w:val="both"/>
        <w:rPr>
          <w:rFonts w:ascii="Arial" w:hAnsi="Arial" w:cs="Arial"/>
          <w:sz w:val="22"/>
          <w:szCs w:val="22"/>
        </w:rPr>
      </w:pPr>
    </w:p>
    <w:p w:rsidR="00F60E68" w:rsidRDefault="0011272C" w:rsidP="00157936">
      <w:pPr>
        <w:pStyle w:val="Textosinformato"/>
        <w:spacing w:line="360" w:lineRule="auto"/>
        <w:ind w:firstLine="1985"/>
        <w:jc w:val="both"/>
        <w:rPr>
          <w:rFonts w:ascii="Arial" w:hAnsi="Arial" w:cs="Arial"/>
          <w:sz w:val="22"/>
          <w:szCs w:val="22"/>
        </w:rPr>
      </w:pPr>
      <w:r>
        <w:rPr>
          <w:rFonts w:ascii="Arial" w:hAnsi="Arial" w:cs="Arial"/>
          <w:sz w:val="22"/>
          <w:szCs w:val="22"/>
        </w:rPr>
        <w:t>1.</w:t>
      </w:r>
    </w:p>
    <w:p w:rsidR="004E77BC" w:rsidRDefault="00F27D9D" w:rsidP="00157936">
      <w:pPr>
        <w:pStyle w:val="Textosinformato"/>
        <w:spacing w:line="360" w:lineRule="auto"/>
        <w:ind w:firstLine="1985"/>
        <w:jc w:val="both"/>
        <w:rPr>
          <w:rFonts w:ascii="Arial" w:hAnsi="Arial" w:cs="Arial"/>
          <w:sz w:val="22"/>
          <w:szCs w:val="22"/>
        </w:rPr>
      </w:pPr>
      <w:r>
        <w:rPr>
          <w:rFonts w:ascii="Arial" w:hAnsi="Arial" w:cs="Arial"/>
          <w:sz w:val="22"/>
          <w:szCs w:val="22"/>
        </w:rPr>
        <w:t xml:space="preserve">La prescripción como </w:t>
      </w:r>
      <w:r w:rsidR="008F1BA8">
        <w:rPr>
          <w:rFonts w:ascii="Arial" w:hAnsi="Arial" w:cs="Arial"/>
          <w:sz w:val="22"/>
          <w:szCs w:val="22"/>
        </w:rPr>
        <w:t xml:space="preserve">modo </w:t>
      </w:r>
      <w:r>
        <w:rPr>
          <w:rFonts w:ascii="Arial" w:hAnsi="Arial" w:cs="Arial"/>
          <w:sz w:val="22"/>
          <w:szCs w:val="22"/>
        </w:rPr>
        <w:t>de extinción de las obligaciones ha s</w:t>
      </w:r>
      <w:r>
        <w:rPr>
          <w:rFonts w:ascii="Arial" w:hAnsi="Arial" w:cs="Arial"/>
          <w:sz w:val="22"/>
          <w:szCs w:val="22"/>
        </w:rPr>
        <w:t>i</w:t>
      </w:r>
      <w:r>
        <w:rPr>
          <w:rFonts w:ascii="Arial" w:hAnsi="Arial" w:cs="Arial"/>
          <w:sz w:val="22"/>
          <w:szCs w:val="22"/>
        </w:rPr>
        <w:t xml:space="preserve">do fuente de conflicto en materia tributaria. </w:t>
      </w:r>
      <w:r w:rsidR="0011272C">
        <w:rPr>
          <w:rFonts w:ascii="Arial" w:hAnsi="Arial" w:cs="Arial"/>
          <w:sz w:val="22"/>
          <w:szCs w:val="22"/>
        </w:rPr>
        <w:t>En primer lugar en torno al plazo que se fije. En segundo término, al modo de contarlo y a las causales de suspensión e int</w:t>
      </w:r>
      <w:r w:rsidR="0011272C">
        <w:rPr>
          <w:rFonts w:ascii="Arial" w:hAnsi="Arial" w:cs="Arial"/>
          <w:sz w:val="22"/>
          <w:szCs w:val="22"/>
        </w:rPr>
        <w:t>e</w:t>
      </w:r>
      <w:r w:rsidR="0011272C">
        <w:rPr>
          <w:rFonts w:ascii="Arial" w:hAnsi="Arial" w:cs="Arial"/>
          <w:sz w:val="22"/>
          <w:szCs w:val="22"/>
        </w:rPr>
        <w:t xml:space="preserve">rrupción. </w:t>
      </w:r>
      <w:r>
        <w:rPr>
          <w:rFonts w:ascii="Arial" w:hAnsi="Arial" w:cs="Arial"/>
          <w:sz w:val="22"/>
          <w:szCs w:val="22"/>
        </w:rPr>
        <w:t>Es conocida la jurisprudencia de nuestro máximo tribunal, dando prevalencia al plazo fijado en el Código Civil, en tanto los máximos tribunales provinciales se solían enrolar en la posición contraria</w:t>
      </w:r>
      <w:r w:rsidR="00455BC8">
        <w:rPr>
          <w:rFonts w:ascii="Arial" w:hAnsi="Arial" w:cs="Arial"/>
          <w:sz w:val="22"/>
          <w:szCs w:val="22"/>
        </w:rPr>
        <w:t>, dando preeminencia a la legislación local</w:t>
      </w:r>
      <w:r>
        <w:rPr>
          <w:rFonts w:ascii="Arial" w:hAnsi="Arial" w:cs="Arial"/>
          <w:sz w:val="22"/>
          <w:szCs w:val="22"/>
        </w:rPr>
        <w:t>. Por un lado</w:t>
      </w:r>
      <w:r w:rsidR="00BA2A4F">
        <w:rPr>
          <w:rFonts w:ascii="Arial" w:hAnsi="Arial" w:cs="Arial"/>
          <w:sz w:val="22"/>
          <w:szCs w:val="22"/>
        </w:rPr>
        <w:t>,</w:t>
      </w:r>
      <w:r>
        <w:rPr>
          <w:rFonts w:ascii="Arial" w:hAnsi="Arial" w:cs="Arial"/>
          <w:sz w:val="22"/>
          <w:szCs w:val="22"/>
        </w:rPr>
        <w:t xml:space="preserve"> la Corte Suprema de Justicia de la Nación</w:t>
      </w:r>
      <w:r w:rsidR="00455BC8">
        <w:rPr>
          <w:rFonts w:ascii="Arial" w:hAnsi="Arial" w:cs="Arial"/>
          <w:sz w:val="22"/>
          <w:szCs w:val="22"/>
        </w:rPr>
        <w:t xml:space="preserve"> sentenciaba que los plazos de prescripción de las obligaciones en general y de las obligaciones tributarias en particular, era mat</w:t>
      </w:r>
      <w:r w:rsidR="00455BC8">
        <w:rPr>
          <w:rFonts w:ascii="Arial" w:hAnsi="Arial" w:cs="Arial"/>
          <w:sz w:val="22"/>
          <w:szCs w:val="22"/>
        </w:rPr>
        <w:t>e</w:t>
      </w:r>
      <w:r w:rsidR="00455BC8">
        <w:rPr>
          <w:rFonts w:ascii="Arial" w:hAnsi="Arial" w:cs="Arial"/>
          <w:sz w:val="22"/>
          <w:szCs w:val="22"/>
        </w:rPr>
        <w:t>ria delegada por las Provincias en la Nación y por ende las provincias no podían reg</w:t>
      </w:r>
      <w:r w:rsidR="00455BC8">
        <w:rPr>
          <w:rFonts w:ascii="Arial" w:hAnsi="Arial" w:cs="Arial"/>
          <w:sz w:val="22"/>
          <w:szCs w:val="22"/>
        </w:rPr>
        <w:t>u</w:t>
      </w:r>
      <w:r w:rsidR="00455BC8">
        <w:rPr>
          <w:rFonts w:ascii="Arial" w:hAnsi="Arial" w:cs="Arial"/>
          <w:sz w:val="22"/>
          <w:szCs w:val="22"/>
        </w:rPr>
        <w:t xml:space="preserve">lar el instituto de un modo distinto al establecido por el legislador nacional. Esa es la posición de la casación nacional, conocida especialmente por el fallo </w:t>
      </w:r>
      <w:r w:rsidR="00157936" w:rsidRPr="00F60E68">
        <w:rPr>
          <w:rFonts w:ascii="Arial" w:hAnsi="Arial" w:cs="Arial"/>
          <w:i/>
          <w:sz w:val="22"/>
          <w:szCs w:val="22"/>
        </w:rPr>
        <w:t>Filcrosa SA s/ quiebra. Incidente de verificación de municipalidad de Avellaneda</w:t>
      </w:r>
      <w:r w:rsidR="00157936">
        <w:rPr>
          <w:rFonts w:ascii="Arial" w:hAnsi="Arial" w:cs="Arial"/>
          <w:sz w:val="22"/>
          <w:szCs w:val="22"/>
        </w:rPr>
        <w:t>, del 30/09/2003</w:t>
      </w:r>
      <w:r w:rsidR="008F1BA8">
        <w:rPr>
          <w:rFonts w:ascii="Arial" w:hAnsi="Arial" w:cs="Arial"/>
          <w:sz w:val="22"/>
          <w:szCs w:val="22"/>
        </w:rPr>
        <w:t>, habiendo además otros precedentes</w:t>
      </w:r>
      <w:r w:rsidR="00157936">
        <w:rPr>
          <w:rFonts w:ascii="Arial" w:hAnsi="Arial" w:cs="Arial"/>
          <w:sz w:val="22"/>
          <w:szCs w:val="22"/>
        </w:rPr>
        <w:t>.</w:t>
      </w:r>
    </w:p>
    <w:p w:rsidR="00455BC8" w:rsidRDefault="00157936" w:rsidP="00157936">
      <w:pPr>
        <w:pStyle w:val="Textosinformato"/>
        <w:spacing w:line="360" w:lineRule="auto"/>
        <w:ind w:firstLine="1985"/>
        <w:jc w:val="both"/>
        <w:rPr>
          <w:rFonts w:ascii="Arial" w:hAnsi="Arial" w:cs="Arial"/>
          <w:sz w:val="22"/>
          <w:szCs w:val="22"/>
        </w:rPr>
      </w:pPr>
      <w:r>
        <w:rPr>
          <w:rFonts w:ascii="Arial" w:hAnsi="Arial" w:cs="Arial"/>
          <w:sz w:val="22"/>
          <w:szCs w:val="22"/>
        </w:rPr>
        <w:t>P</w:t>
      </w:r>
      <w:r w:rsidR="00455BC8">
        <w:rPr>
          <w:rFonts w:ascii="Arial" w:hAnsi="Arial" w:cs="Arial"/>
          <w:sz w:val="22"/>
          <w:szCs w:val="22"/>
        </w:rPr>
        <w:t>or el otro</w:t>
      </w:r>
      <w:r w:rsidR="00BA2A4F">
        <w:rPr>
          <w:rFonts w:ascii="Arial" w:hAnsi="Arial" w:cs="Arial"/>
          <w:sz w:val="22"/>
          <w:szCs w:val="22"/>
        </w:rPr>
        <w:t xml:space="preserve"> lado</w:t>
      </w:r>
      <w:r w:rsidR="00455BC8">
        <w:rPr>
          <w:rFonts w:ascii="Arial" w:hAnsi="Arial" w:cs="Arial"/>
          <w:sz w:val="22"/>
          <w:szCs w:val="22"/>
        </w:rPr>
        <w:t xml:space="preserve">, el Superior Tribunal de la </w:t>
      </w:r>
      <w:r>
        <w:rPr>
          <w:rFonts w:ascii="Arial" w:hAnsi="Arial" w:cs="Arial"/>
          <w:sz w:val="22"/>
          <w:szCs w:val="22"/>
        </w:rPr>
        <w:t xml:space="preserve">ciudad de Buenos Aires sostenía el criterio contrario en autos </w:t>
      </w:r>
      <w:r w:rsidRPr="00F60E68">
        <w:rPr>
          <w:rFonts w:ascii="Arial" w:hAnsi="Arial" w:cs="Arial"/>
          <w:i/>
          <w:sz w:val="22"/>
          <w:szCs w:val="22"/>
        </w:rPr>
        <w:t>Sociedad Italiana de Beneficencia</w:t>
      </w:r>
      <w:r>
        <w:rPr>
          <w:rFonts w:ascii="Arial" w:hAnsi="Arial" w:cs="Arial"/>
          <w:sz w:val="22"/>
          <w:szCs w:val="22"/>
        </w:rPr>
        <w:t xml:space="preserve"> del </w:t>
      </w:r>
      <w:r w:rsidRPr="00157936">
        <w:rPr>
          <w:rFonts w:ascii="Arial" w:hAnsi="Arial" w:cs="Arial"/>
          <w:sz w:val="22"/>
          <w:szCs w:val="22"/>
        </w:rPr>
        <w:t>17/11/2003</w:t>
      </w:r>
      <w:r>
        <w:rPr>
          <w:rFonts w:ascii="Arial" w:hAnsi="Arial" w:cs="Arial"/>
          <w:sz w:val="22"/>
          <w:szCs w:val="22"/>
        </w:rPr>
        <w:t>.</w:t>
      </w:r>
      <w:r w:rsidR="004F0C9F">
        <w:rPr>
          <w:rFonts w:ascii="Arial" w:hAnsi="Arial" w:cs="Arial"/>
          <w:sz w:val="22"/>
          <w:szCs w:val="22"/>
        </w:rPr>
        <w:t xml:space="preserve"> Posteriormente, en autos </w:t>
      </w:r>
      <w:r w:rsidR="004F0C9F">
        <w:rPr>
          <w:rFonts w:ascii="Arial" w:hAnsi="Arial" w:cs="Arial"/>
          <w:i/>
          <w:sz w:val="22"/>
          <w:szCs w:val="22"/>
        </w:rPr>
        <w:t>Marini Osvaldo rec. de queja por inconstituci</w:t>
      </w:r>
      <w:r w:rsidR="004F0C9F">
        <w:rPr>
          <w:rFonts w:ascii="Arial" w:hAnsi="Arial" w:cs="Arial"/>
          <w:i/>
          <w:sz w:val="22"/>
          <w:szCs w:val="22"/>
        </w:rPr>
        <w:t>o</w:t>
      </w:r>
      <w:r w:rsidR="004F0C9F">
        <w:rPr>
          <w:rFonts w:ascii="Arial" w:hAnsi="Arial" w:cs="Arial"/>
          <w:i/>
          <w:sz w:val="22"/>
          <w:szCs w:val="22"/>
        </w:rPr>
        <w:t>nalidad en GCBA c/ Marini Osvaldo s/ ejecución fiscal</w:t>
      </w:r>
      <w:r w:rsidR="004F0C9F">
        <w:rPr>
          <w:rFonts w:ascii="Arial" w:hAnsi="Arial" w:cs="Arial"/>
          <w:sz w:val="22"/>
          <w:szCs w:val="22"/>
        </w:rPr>
        <w:t xml:space="preserve">, del 22/01/2013, este prestigioso tribunal decide seguir los lineamientos de </w:t>
      </w:r>
      <w:r w:rsidR="004F0C9F">
        <w:rPr>
          <w:rFonts w:ascii="Arial" w:hAnsi="Arial" w:cs="Arial"/>
          <w:i/>
          <w:sz w:val="22"/>
          <w:szCs w:val="22"/>
        </w:rPr>
        <w:t xml:space="preserve">Filcrosa, </w:t>
      </w:r>
      <w:r w:rsidR="004F0C9F">
        <w:rPr>
          <w:rFonts w:ascii="Arial" w:hAnsi="Arial" w:cs="Arial"/>
          <w:sz w:val="22"/>
          <w:szCs w:val="22"/>
        </w:rPr>
        <w:t>por respeto a la autoridad instit</w:t>
      </w:r>
      <w:r w:rsidR="004F0C9F">
        <w:rPr>
          <w:rFonts w:ascii="Arial" w:hAnsi="Arial" w:cs="Arial"/>
          <w:sz w:val="22"/>
          <w:szCs w:val="22"/>
        </w:rPr>
        <w:t>u</w:t>
      </w:r>
      <w:r w:rsidR="004F0C9F">
        <w:rPr>
          <w:rFonts w:ascii="Arial" w:hAnsi="Arial" w:cs="Arial"/>
          <w:sz w:val="22"/>
          <w:szCs w:val="22"/>
        </w:rPr>
        <w:t>cional que emana de la Corte nacional y para evitarle al justiciable un largo peregrinar jurisdiccional.</w:t>
      </w:r>
      <w:r w:rsidR="004F0C9F">
        <w:rPr>
          <w:rFonts w:ascii="Arial" w:hAnsi="Arial" w:cs="Arial"/>
          <w:i/>
          <w:sz w:val="22"/>
          <w:szCs w:val="22"/>
        </w:rPr>
        <w:t xml:space="preserve"> </w:t>
      </w:r>
      <w:r w:rsidR="004F0C9F">
        <w:rPr>
          <w:rFonts w:ascii="Arial" w:hAnsi="Arial" w:cs="Arial"/>
          <w:sz w:val="22"/>
          <w:szCs w:val="22"/>
        </w:rPr>
        <w:t xml:space="preserve">Otro tanto ocurre con </w:t>
      </w:r>
      <w:r>
        <w:rPr>
          <w:rFonts w:ascii="Arial" w:hAnsi="Arial" w:cs="Arial"/>
          <w:sz w:val="22"/>
          <w:szCs w:val="22"/>
        </w:rPr>
        <w:t>la Suprema Corte de la Provincia de Buenos Aires</w:t>
      </w:r>
      <w:r w:rsidR="004F0C9F">
        <w:rPr>
          <w:rFonts w:ascii="Arial" w:hAnsi="Arial" w:cs="Arial"/>
          <w:sz w:val="22"/>
          <w:szCs w:val="22"/>
        </w:rPr>
        <w:t>. D</w:t>
      </w:r>
      <w:r w:rsidR="00D02296">
        <w:rPr>
          <w:rFonts w:ascii="Arial" w:hAnsi="Arial" w:cs="Arial"/>
          <w:sz w:val="22"/>
          <w:szCs w:val="22"/>
        </w:rPr>
        <w:t xml:space="preserve">ecide plegarse a la posición de la casación nacional, abandonando la </w:t>
      </w:r>
      <w:r w:rsidR="004F0C9F">
        <w:rPr>
          <w:rFonts w:ascii="Arial" w:hAnsi="Arial" w:cs="Arial"/>
          <w:sz w:val="22"/>
          <w:szCs w:val="22"/>
        </w:rPr>
        <w:t>suya en favor de la autonomía local</w:t>
      </w:r>
      <w:r w:rsidR="004E77BC">
        <w:rPr>
          <w:rFonts w:ascii="Arial" w:hAnsi="Arial" w:cs="Arial"/>
          <w:sz w:val="22"/>
          <w:szCs w:val="22"/>
        </w:rPr>
        <w:t>,</w:t>
      </w:r>
      <w:r w:rsidR="004F0C9F">
        <w:rPr>
          <w:rFonts w:ascii="Arial" w:hAnsi="Arial" w:cs="Arial"/>
          <w:sz w:val="22"/>
          <w:szCs w:val="22"/>
        </w:rPr>
        <w:t xml:space="preserve"> </w:t>
      </w:r>
      <w:r w:rsidR="00D02296">
        <w:rPr>
          <w:rFonts w:ascii="Arial" w:hAnsi="Arial" w:cs="Arial"/>
          <w:sz w:val="22"/>
          <w:szCs w:val="22"/>
        </w:rPr>
        <w:t xml:space="preserve">a partir </w:t>
      </w:r>
      <w:r w:rsidR="00F60E68">
        <w:rPr>
          <w:rFonts w:ascii="Arial" w:hAnsi="Arial" w:cs="Arial"/>
          <w:sz w:val="22"/>
          <w:szCs w:val="22"/>
        </w:rPr>
        <w:t xml:space="preserve">de una serie de fallos entre los cuales puede destacarse </w:t>
      </w:r>
      <w:r w:rsidR="00D02296">
        <w:rPr>
          <w:rFonts w:ascii="Arial" w:hAnsi="Arial" w:cs="Arial"/>
          <w:sz w:val="22"/>
          <w:szCs w:val="22"/>
        </w:rPr>
        <w:t>los autos</w:t>
      </w:r>
      <w:r w:rsidR="00D02296" w:rsidRPr="00D02296">
        <w:rPr>
          <w:rFonts w:ascii="Arial" w:hAnsi="Arial" w:cs="Arial"/>
          <w:sz w:val="22"/>
          <w:szCs w:val="22"/>
        </w:rPr>
        <w:t xml:space="preserve"> </w:t>
      </w:r>
      <w:r w:rsidR="00D02296" w:rsidRPr="00F60E68">
        <w:rPr>
          <w:rFonts w:ascii="Arial" w:hAnsi="Arial" w:cs="Arial"/>
          <w:i/>
          <w:sz w:val="22"/>
          <w:szCs w:val="22"/>
        </w:rPr>
        <w:t xml:space="preserve">"Fisco de la Provincia de Buenos Aires. Incidente de revisión en autos: </w:t>
      </w:r>
      <w:r w:rsidR="00D02296" w:rsidRPr="00F60E68">
        <w:rPr>
          <w:rFonts w:ascii="Arial" w:hAnsi="Arial" w:cs="Arial"/>
          <w:i/>
          <w:sz w:val="22"/>
          <w:szCs w:val="22"/>
        </w:rPr>
        <w:lastRenderedPageBreak/>
        <w:t>'Cooperativa Provisión Almaceneros Minoristas de Punta Alta Limitada. Concurso pr</w:t>
      </w:r>
      <w:r w:rsidR="00D02296" w:rsidRPr="00F60E68">
        <w:rPr>
          <w:rFonts w:ascii="Arial" w:hAnsi="Arial" w:cs="Arial"/>
          <w:i/>
          <w:sz w:val="22"/>
          <w:szCs w:val="22"/>
        </w:rPr>
        <w:t>e</w:t>
      </w:r>
      <w:r w:rsidR="00D02296" w:rsidRPr="00F60E68">
        <w:rPr>
          <w:rFonts w:ascii="Arial" w:hAnsi="Arial" w:cs="Arial"/>
          <w:i/>
          <w:sz w:val="22"/>
          <w:szCs w:val="22"/>
        </w:rPr>
        <w:t>ventivo'"</w:t>
      </w:r>
      <w:r w:rsidR="00D02296">
        <w:rPr>
          <w:rFonts w:ascii="Arial" w:hAnsi="Arial" w:cs="Arial"/>
          <w:sz w:val="22"/>
          <w:szCs w:val="22"/>
        </w:rPr>
        <w:t>, del 30/05/2007</w:t>
      </w:r>
      <w:r w:rsidR="00D02296" w:rsidRPr="00D02296">
        <w:rPr>
          <w:rFonts w:ascii="Arial" w:hAnsi="Arial" w:cs="Arial"/>
          <w:sz w:val="22"/>
          <w:szCs w:val="22"/>
        </w:rPr>
        <w:t>.</w:t>
      </w:r>
    </w:p>
    <w:p w:rsidR="009A4F90" w:rsidRDefault="009A4F90" w:rsidP="009A4F90">
      <w:pPr>
        <w:pStyle w:val="Textosinformato"/>
        <w:spacing w:line="360" w:lineRule="auto"/>
        <w:ind w:firstLine="1985"/>
        <w:jc w:val="both"/>
        <w:rPr>
          <w:rFonts w:ascii="Arial" w:hAnsi="Arial" w:cs="Arial"/>
          <w:sz w:val="22"/>
          <w:szCs w:val="22"/>
        </w:rPr>
      </w:pPr>
      <w:r w:rsidRPr="009A4F90">
        <w:rPr>
          <w:rFonts w:ascii="Arial" w:hAnsi="Arial" w:cs="Arial"/>
          <w:sz w:val="22"/>
          <w:szCs w:val="22"/>
        </w:rPr>
        <w:t xml:space="preserve">La jurisprudencia de </w:t>
      </w:r>
      <w:smartTag w:uri="urn:schemas-microsoft-com:office:smarttags" w:element="PersonName">
        <w:smartTagPr>
          <w:attr w:name="ProductID" w:val="la Corte Suprema"/>
        </w:smartTagPr>
        <w:r w:rsidRPr="009A4F90">
          <w:rPr>
            <w:rFonts w:ascii="Arial" w:hAnsi="Arial" w:cs="Arial"/>
            <w:sz w:val="22"/>
            <w:szCs w:val="22"/>
          </w:rPr>
          <w:t>la Corte Suprema</w:t>
        </w:r>
      </w:smartTag>
      <w:r w:rsidRPr="009A4F90">
        <w:rPr>
          <w:rFonts w:ascii="Arial" w:hAnsi="Arial" w:cs="Arial"/>
          <w:sz w:val="22"/>
          <w:szCs w:val="22"/>
        </w:rPr>
        <w:t xml:space="preserve"> de Justicia de la Nación ha declarado inconstitucional toda aquella legislación que contravenga a la de fondo en esta materia. </w:t>
      </w:r>
      <w:r w:rsidR="00F60E68">
        <w:rPr>
          <w:rFonts w:ascii="Arial" w:hAnsi="Arial" w:cs="Arial"/>
          <w:sz w:val="22"/>
          <w:szCs w:val="22"/>
        </w:rPr>
        <w:t xml:space="preserve">A </w:t>
      </w:r>
      <w:r w:rsidRPr="009A4F90">
        <w:rPr>
          <w:rFonts w:ascii="Arial" w:hAnsi="Arial" w:cs="Arial"/>
          <w:sz w:val="22"/>
          <w:szCs w:val="22"/>
        </w:rPr>
        <w:t>partir de 2005 y en especial de 20</w:t>
      </w:r>
      <w:r w:rsidR="004F0C9F">
        <w:rPr>
          <w:rFonts w:ascii="Arial" w:hAnsi="Arial" w:cs="Arial"/>
          <w:sz w:val="22"/>
          <w:szCs w:val="22"/>
        </w:rPr>
        <w:t>13</w:t>
      </w:r>
      <w:r w:rsidRPr="009A4F90">
        <w:rPr>
          <w:rFonts w:ascii="Arial" w:hAnsi="Arial" w:cs="Arial"/>
          <w:sz w:val="22"/>
          <w:szCs w:val="22"/>
        </w:rPr>
        <w:t xml:space="preserve">, ya no hay contrapunto entre </w:t>
      </w:r>
      <w:smartTag w:uri="urn:schemas-microsoft-com:office:smarttags" w:element="PersonName">
        <w:smartTagPr>
          <w:attr w:name="ProductID" w:val="la Corte Nacional"/>
        </w:smartTagPr>
        <w:r w:rsidRPr="009A4F90">
          <w:rPr>
            <w:rFonts w:ascii="Arial" w:hAnsi="Arial" w:cs="Arial"/>
            <w:sz w:val="22"/>
            <w:szCs w:val="22"/>
          </w:rPr>
          <w:t>la Corte Nacional</w:t>
        </w:r>
      </w:smartTag>
      <w:r w:rsidRPr="009A4F90">
        <w:rPr>
          <w:rFonts w:ascii="Arial" w:hAnsi="Arial" w:cs="Arial"/>
          <w:sz w:val="22"/>
          <w:szCs w:val="22"/>
        </w:rPr>
        <w:t xml:space="preserve"> y </w:t>
      </w:r>
      <w:r w:rsidR="004F0C9F">
        <w:rPr>
          <w:rFonts w:ascii="Arial" w:hAnsi="Arial" w:cs="Arial"/>
          <w:sz w:val="22"/>
          <w:szCs w:val="22"/>
        </w:rPr>
        <w:t>dos de las Cortes más importantes del país. Tanto el Superior Trib</w:t>
      </w:r>
      <w:r w:rsidR="004F0C9F">
        <w:rPr>
          <w:rFonts w:ascii="Arial" w:hAnsi="Arial" w:cs="Arial"/>
          <w:sz w:val="22"/>
          <w:szCs w:val="22"/>
        </w:rPr>
        <w:t>u</w:t>
      </w:r>
      <w:r w:rsidR="004F0C9F">
        <w:rPr>
          <w:rFonts w:ascii="Arial" w:hAnsi="Arial" w:cs="Arial"/>
          <w:sz w:val="22"/>
          <w:szCs w:val="22"/>
        </w:rPr>
        <w:t xml:space="preserve">nal de la ciudad autónoma de Buenos Aires como la Suprema Corte de la Provincia de  Buenos Aires adecuaron </w:t>
      </w:r>
      <w:r w:rsidRPr="009A4F90">
        <w:rPr>
          <w:rFonts w:ascii="Arial" w:hAnsi="Arial" w:cs="Arial"/>
          <w:sz w:val="22"/>
          <w:szCs w:val="22"/>
        </w:rPr>
        <w:t>su interpretación. Concretamente, la jurisprudencia</w:t>
      </w:r>
      <w:r w:rsidR="00681A63">
        <w:rPr>
          <w:rFonts w:ascii="Arial" w:hAnsi="Arial" w:cs="Arial"/>
          <w:sz w:val="22"/>
          <w:szCs w:val="22"/>
        </w:rPr>
        <w:t xml:space="preserve"> de los </w:t>
      </w:r>
      <w:r w:rsidR="004F0C9F">
        <w:rPr>
          <w:rFonts w:ascii="Arial" w:hAnsi="Arial" w:cs="Arial"/>
          <w:sz w:val="22"/>
          <w:szCs w:val="22"/>
        </w:rPr>
        <w:t xml:space="preserve">tres </w:t>
      </w:r>
      <w:r w:rsidR="00681A63">
        <w:rPr>
          <w:rFonts w:ascii="Arial" w:hAnsi="Arial" w:cs="Arial"/>
          <w:sz w:val="22"/>
          <w:szCs w:val="22"/>
        </w:rPr>
        <w:t>tribunales coincidían</w:t>
      </w:r>
      <w:r w:rsidRPr="009A4F90">
        <w:rPr>
          <w:rFonts w:ascii="Arial" w:hAnsi="Arial" w:cs="Arial"/>
          <w:sz w:val="22"/>
          <w:szCs w:val="22"/>
        </w:rPr>
        <w:t xml:space="preserve"> en que la prescripción deb</w:t>
      </w:r>
      <w:r w:rsidR="004F0C9F">
        <w:rPr>
          <w:rFonts w:ascii="Arial" w:hAnsi="Arial" w:cs="Arial"/>
          <w:sz w:val="22"/>
          <w:szCs w:val="22"/>
        </w:rPr>
        <w:t>ía</w:t>
      </w:r>
      <w:r w:rsidRPr="009A4F90">
        <w:rPr>
          <w:rFonts w:ascii="Arial" w:hAnsi="Arial" w:cs="Arial"/>
          <w:sz w:val="22"/>
          <w:szCs w:val="22"/>
        </w:rPr>
        <w:t xml:space="preserve"> regirse por el Código Civil.</w:t>
      </w:r>
    </w:p>
    <w:p w:rsidR="00F60E68" w:rsidRDefault="00F60E68" w:rsidP="00F60E68">
      <w:pPr>
        <w:pStyle w:val="Textosinformato"/>
        <w:spacing w:line="360" w:lineRule="auto"/>
        <w:ind w:firstLine="1985"/>
        <w:jc w:val="both"/>
        <w:rPr>
          <w:rFonts w:ascii="Arial" w:hAnsi="Arial" w:cs="Arial"/>
          <w:sz w:val="22"/>
          <w:szCs w:val="22"/>
        </w:rPr>
      </w:pPr>
      <w:r>
        <w:rPr>
          <w:rFonts w:ascii="Arial" w:hAnsi="Arial" w:cs="Arial"/>
          <w:sz w:val="22"/>
          <w:szCs w:val="22"/>
        </w:rPr>
        <w:t>Básicamente, se sost</w:t>
      </w:r>
      <w:r w:rsidR="004E77BC">
        <w:rPr>
          <w:rFonts w:ascii="Arial" w:hAnsi="Arial" w:cs="Arial"/>
          <w:sz w:val="22"/>
          <w:szCs w:val="22"/>
        </w:rPr>
        <w:t>iene</w:t>
      </w:r>
      <w:r>
        <w:rPr>
          <w:rFonts w:ascii="Arial" w:hAnsi="Arial" w:cs="Arial"/>
          <w:sz w:val="22"/>
          <w:szCs w:val="22"/>
        </w:rPr>
        <w:t xml:space="preserve"> que </w:t>
      </w:r>
      <w:r w:rsidR="009A4F90" w:rsidRPr="00F60E68">
        <w:rPr>
          <w:rFonts w:ascii="Arial" w:hAnsi="Arial" w:cs="Arial"/>
          <w:iCs/>
          <w:sz w:val="22"/>
          <w:szCs w:val="22"/>
        </w:rPr>
        <w:t>la prescripción no es un instituto propio del derecho público local, sino un instituto general del derecho, lo que ha</w:t>
      </w:r>
      <w:r w:rsidR="00681A63">
        <w:rPr>
          <w:rFonts w:ascii="Arial" w:hAnsi="Arial" w:cs="Arial"/>
          <w:iCs/>
          <w:sz w:val="22"/>
          <w:szCs w:val="22"/>
        </w:rPr>
        <w:t>bría</w:t>
      </w:r>
      <w:r w:rsidR="009A4F90" w:rsidRPr="00F60E68">
        <w:rPr>
          <w:rFonts w:ascii="Arial" w:hAnsi="Arial" w:cs="Arial"/>
          <w:iCs/>
          <w:sz w:val="22"/>
          <w:szCs w:val="22"/>
        </w:rPr>
        <w:t xml:space="preserve"> justificado que, en ejercicio de la habilitación conferida al legislador nacional por el citado art. 75, inc. 12, </w:t>
      </w:r>
      <w:r w:rsidR="00681A63">
        <w:rPr>
          <w:rFonts w:ascii="Arial" w:hAnsi="Arial" w:cs="Arial"/>
          <w:iCs/>
          <w:sz w:val="22"/>
          <w:szCs w:val="22"/>
        </w:rPr>
        <w:t>el legislador nacional fijara</w:t>
      </w:r>
      <w:r w:rsidR="009A4F90" w:rsidRPr="00F60E68">
        <w:rPr>
          <w:rFonts w:ascii="Arial" w:hAnsi="Arial" w:cs="Arial"/>
          <w:iCs/>
          <w:sz w:val="22"/>
          <w:szCs w:val="22"/>
        </w:rPr>
        <w:t xml:space="preserve"> los plazos correspondientes</w:t>
      </w:r>
      <w:r w:rsidR="00681A63">
        <w:rPr>
          <w:rFonts w:ascii="Arial" w:hAnsi="Arial" w:cs="Arial"/>
          <w:iCs/>
          <w:sz w:val="22"/>
          <w:szCs w:val="22"/>
        </w:rPr>
        <w:t xml:space="preserve"> y </w:t>
      </w:r>
      <w:r w:rsidR="009A4F90" w:rsidRPr="00F60E68">
        <w:rPr>
          <w:rFonts w:ascii="Arial" w:hAnsi="Arial" w:cs="Arial"/>
          <w:iCs/>
          <w:sz w:val="22"/>
          <w:szCs w:val="22"/>
        </w:rPr>
        <w:t>est</w:t>
      </w:r>
      <w:r w:rsidR="009A4F90" w:rsidRPr="00F60E68">
        <w:rPr>
          <w:rFonts w:ascii="Arial" w:hAnsi="Arial" w:cs="Arial"/>
          <w:iCs/>
          <w:sz w:val="22"/>
          <w:szCs w:val="22"/>
        </w:rPr>
        <w:t>a</w:t>
      </w:r>
      <w:r w:rsidR="009A4F90" w:rsidRPr="00F60E68">
        <w:rPr>
          <w:rFonts w:ascii="Arial" w:hAnsi="Arial" w:cs="Arial"/>
          <w:iCs/>
          <w:sz w:val="22"/>
          <w:szCs w:val="22"/>
        </w:rPr>
        <w:t>bleciera también un régimen destinado a comprender la generalidad de las acciones susceptibles de extinguirse por esta vía</w:t>
      </w:r>
      <w:r w:rsidR="009A4F90" w:rsidRPr="00F60E68">
        <w:rPr>
          <w:rFonts w:ascii="Arial" w:hAnsi="Arial" w:cs="Arial"/>
          <w:sz w:val="22"/>
          <w:szCs w:val="22"/>
        </w:rPr>
        <w:t>.</w:t>
      </w:r>
      <w:r>
        <w:rPr>
          <w:rFonts w:ascii="Arial" w:hAnsi="Arial" w:cs="Arial"/>
          <w:sz w:val="22"/>
          <w:szCs w:val="22"/>
        </w:rPr>
        <w:t xml:space="preserve"> </w:t>
      </w:r>
    </w:p>
    <w:p w:rsidR="00681A63" w:rsidRDefault="00F60E68" w:rsidP="00F60E68">
      <w:pPr>
        <w:pStyle w:val="Textosinformato"/>
        <w:spacing w:line="360" w:lineRule="auto"/>
        <w:ind w:firstLine="1985"/>
        <w:jc w:val="both"/>
        <w:rPr>
          <w:rFonts w:ascii="Arial" w:hAnsi="Arial" w:cs="Arial"/>
          <w:iCs/>
          <w:sz w:val="22"/>
          <w:szCs w:val="22"/>
        </w:rPr>
      </w:pPr>
      <w:r>
        <w:rPr>
          <w:rFonts w:ascii="Arial" w:hAnsi="Arial" w:cs="Arial"/>
          <w:sz w:val="22"/>
          <w:szCs w:val="22"/>
        </w:rPr>
        <w:t xml:space="preserve">Se agregaba que se </w:t>
      </w:r>
      <w:r w:rsidR="00681A63">
        <w:rPr>
          <w:rFonts w:ascii="Arial" w:hAnsi="Arial" w:cs="Arial"/>
          <w:sz w:val="22"/>
          <w:szCs w:val="22"/>
        </w:rPr>
        <w:t>justificaba</w:t>
      </w:r>
      <w:r w:rsidR="009A4F90" w:rsidRPr="009A4F90">
        <w:rPr>
          <w:rFonts w:ascii="Arial" w:hAnsi="Arial" w:cs="Arial"/>
          <w:sz w:val="22"/>
          <w:szCs w:val="22"/>
        </w:rPr>
        <w:t xml:space="preserve"> la regulación por la Nación de los distintos modos de extinción de las obligaciones -sin que ello obst</w:t>
      </w:r>
      <w:r w:rsidR="002561C8">
        <w:rPr>
          <w:rFonts w:ascii="Arial" w:hAnsi="Arial" w:cs="Arial"/>
          <w:sz w:val="22"/>
          <w:szCs w:val="22"/>
        </w:rPr>
        <w:t>ara</w:t>
      </w:r>
      <w:r w:rsidR="009A4F90" w:rsidRPr="009A4F90">
        <w:rPr>
          <w:rFonts w:ascii="Arial" w:hAnsi="Arial" w:cs="Arial"/>
          <w:sz w:val="22"/>
          <w:szCs w:val="22"/>
        </w:rPr>
        <w:t xml:space="preserve"> a su aplicación en el ámbito de materias no delegadas-, </w:t>
      </w:r>
      <w:r w:rsidR="00681A63">
        <w:rPr>
          <w:rFonts w:ascii="Arial" w:hAnsi="Arial" w:cs="Arial"/>
          <w:sz w:val="22"/>
          <w:szCs w:val="22"/>
        </w:rPr>
        <w:t xml:space="preserve">por lo que </w:t>
      </w:r>
      <w:r w:rsidR="009A4F90" w:rsidRPr="009A4F90">
        <w:rPr>
          <w:rFonts w:ascii="Arial" w:hAnsi="Arial" w:cs="Arial"/>
          <w:sz w:val="22"/>
          <w:szCs w:val="22"/>
        </w:rPr>
        <w:t>idéntica solución deb</w:t>
      </w:r>
      <w:r w:rsidR="00681A63">
        <w:rPr>
          <w:rFonts w:ascii="Arial" w:hAnsi="Arial" w:cs="Arial"/>
          <w:sz w:val="22"/>
          <w:szCs w:val="22"/>
        </w:rPr>
        <w:t>ía</w:t>
      </w:r>
      <w:r w:rsidR="009A4F90" w:rsidRPr="009A4F90">
        <w:rPr>
          <w:rFonts w:ascii="Arial" w:hAnsi="Arial" w:cs="Arial"/>
          <w:sz w:val="22"/>
          <w:szCs w:val="22"/>
        </w:rPr>
        <w:t xml:space="preserve"> adoptarse respecto de la prescripción, desde que no se adv</w:t>
      </w:r>
      <w:r w:rsidR="002561C8">
        <w:rPr>
          <w:rFonts w:ascii="Arial" w:hAnsi="Arial" w:cs="Arial"/>
          <w:sz w:val="22"/>
          <w:szCs w:val="22"/>
        </w:rPr>
        <w:t>ertía</w:t>
      </w:r>
      <w:r w:rsidR="009A4F90" w:rsidRPr="009A4F90">
        <w:rPr>
          <w:rFonts w:ascii="Arial" w:hAnsi="Arial" w:cs="Arial"/>
          <w:sz w:val="22"/>
          <w:szCs w:val="22"/>
        </w:rPr>
        <w:t xml:space="preserve"> cuál </w:t>
      </w:r>
      <w:r w:rsidR="002561C8">
        <w:rPr>
          <w:rFonts w:ascii="Arial" w:hAnsi="Arial" w:cs="Arial"/>
          <w:sz w:val="22"/>
          <w:szCs w:val="22"/>
        </w:rPr>
        <w:t>era</w:t>
      </w:r>
      <w:r w:rsidR="009A4F90" w:rsidRPr="009A4F90">
        <w:rPr>
          <w:rFonts w:ascii="Arial" w:hAnsi="Arial" w:cs="Arial"/>
          <w:sz w:val="22"/>
          <w:szCs w:val="22"/>
        </w:rPr>
        <w:t xml:space="preserve"> el motivo para presumir que, al dictar la Constitución, las provincias hayan estimado indispensable presupue</w:t>
      </w:r>
      <w:r w:rsidR="009A4F90" w:rsidRPr="009A4F90">
        <w:rPr>
          <w:rFonts w:ascii="Arial" w:hAnsi="Arial" w:cs="Arial"/>
          <w:sz w:val="22"/>
          <w:szCs w:val="22"/>
        </w:rPr>
        <w:t>s</w:t>
      </w:r>
      <w:r w:rsidR="009A4F90" w:rsidRPr="009A4F90">
        <w:rPr>
          <w:rFonts w:ascii="Arial" w:hAnsi="Arial" w:cs="Arial"/>
          <w:sz w:val="22"/>
          <w:szCs w:val="22"/>
        </w:rPr>
        <w:t>to de sus autonomías, reservarse la posibilidad de evaluar los efectos de la propia d</w:t>
      </w:r>
      <w:r w:rsidR="009A4F90" w:rsidRPr="009A4F90">
        <w:rPr>
          <w:rFonts w:ascii="Arial" w:hAnsi="Arial" w:cs="Arial"/>
          <w:sz w:val="22"/>
          <w:szCs w:val="22"/>
        </w:rPr>
        <w:t>e</w:t>
      </w:r>
      <w:r w:rsidR="009A4F90" w:rsidRPr="009A4F90">
        <w:rPr>
          <w:rFonts w:ascii="Arial" w:hAnsi="Arial" w:cs="Arial"/>
          <w:sz w:val="22"/>
          <w:szCs w:val="22"/>
        </w:rPr>
        <w:t>sidi</w:t>
      </w:r>
      <w:r>
        <w:rPr>
          <w:rFonts w:ascii="Arial" w:hAnsi="Arial" w:cs="Arial"/>
          <w:sz w:val="22"/>
          <w:szCs w:val="22"/>
        </w:rPr>
        <w:t xml:space="preserve">a que ésta lleva implícita. Consecuentemente </w:t>
      </w:r>
      <w:r w:rsidR="009A4F90" w:rsidRPr="00F60E68">
        <w:rPr>
          <w:rFonts w:ascii="Arial" w:hAnsi="Arial" w:cs="Arial"/>
          <w:iCs/>
          <w:sz w:val="22"/>
          <w:szCs w:val="22"/>
        </w:rPr>
        <w:t>no cab</w:t>
      </w:r>
      <w:r w:rsidR="00681A63">
        <w:rPr>
          <w:rFonts w:ascii="Arial" w:hAnsi="Arial" w:cs="Arial"/>
          <w:iCs/>
          <w:sz w:val="22"/>
          <w:szCs w:val="22"/>
        </w:rPr>
        <w:t>ía</w:t>
      </w:r>
      <w:r w:rsidR="009A4F90" w:rsidRPr="00F60E68">
        <w:rPr>
          <w:rFonts w:ascii="Arial" w:hAnsi="Arial" w:cs="Arial"/>
          <w:iCs/>
          <w:sz w:val="22"/>
          <w:szCs w:val="22"/>
        </w:rPr>
        <w:t xml:space="preserve"> a las provincias -ni a los municipios- dictar leyes incompatibles con lo que los códigos de fondo establec</w:t>
      </w:r>
      <w:r w:rsidR="00681A63">
        <w:rPr>
          <w:rFonts w:ascii="Arial" w:hAnsi="Arial" w:cs="Arial"/>
          <w:iCs/>
          <w:sz w:val="22"/>
          <w:szCs w:val="22"/>
        </w:rPr>
        <w:t>ían</w:t>
      </w:r>
      <w:r w:rsidR="009A4F90" w:rsidRPr="00F60E68">
        <w:rPr>
          <w:rFonts w:ascii="Arial" w:hAnsi="Arial" w:cs="Arial"/>
          <w:iCs/>
          <w:sz w:val="22"/>
          <w:szCs w:val="22"/>
        </w:rPr>
        <w:t xml:space="preserve"> al respecto, ya que, al haber atribuido a la Nación la facultad de dictarlos, han debido admitir la prevalencia de las leyes del Congreso y la necesaria limitación de no dictar normas que las contradigan</w:t>
      </w:r>
      <w:r w:rsidR="00681A63">
        <w:rPr>
          <w:rFonts w:ascii="Arial" w:hAnsi="Arial" w:cs="Arial"/>
          <w:iCs/>
          <w:sz w:val="22"/>
          <w:szCs w:val="22"/>
        </w:rPr>
        <w:t>.</w:t>
      </w:r>
    </w:p>
    <w:p w:rsidR="00681A63" w:rsidRDefault="00681A63" w:rsidP="00F60E68">
      <w:pPr>
        <w:pStyle w:val="Textosinformato"/>
        <w:spacing w:line="360" w:lineRule="auto"/>
        <w:ind w:firstLine="1985"/>
        <w:jc w:val="both"/>
        <w:rPr>
          <w:rFonts w:ascii="Arial" w:hAnsi="Arial" w:cs="Arial"/>
          <w:iCs/>
          <w:sz w:val="22"/>
          <w:szCs w:val="22"/>
        </w:rPr>
      </w:pPr>
      <w:r>
        <w:rPr>
          <w:rFonts w:ascii="Arial" w:hAnsi="Arial" w:cs="Arial"/>
          <w:iCs/>
          <w:sz w:val="22"/>
          <w:szCs w:val="22"/>
        </w:rPr>
        <w:t>También se decía que la delegación que las provincias hicieron en la Nación para el dictado de los códigos implicó la delegación para delimitar su cont</w:t>
      </w:r>
      <w:r>
        <w:rPr>
          <w:rFonts w:ascii="Arial" w:hAnsi="Arial" w:cs="Arial"/>
          <w:iCs/>
          <w:sz w:val="22"/>
          <w:szCs w:val="22"/>
        </w:rPr>
        <w:t>e</w:t>
      </w:r>
      <w:r>
        <w:rPr>
          <w:rFonts w:ascii="Arial" w:hAnsi="Arial" w:cs="Arial"/>
          <w:iCs/>
          <w:sz w:val="22"/>
          <w:szCs w:val="22"/>
        </w:rPr>
        <w:t>nido.</w:t>
      </w:r>
    </w:p>
    <w:p w:rsidR="00F241E0" w:rsidRPr="00F241E0" w:rsidRDefault="00681A63" w:rsidP="00F60E68">
      <w:pPr>
        <w:pStyle w:val="Textosinformato"/>
        <w:spacing w:line="360" w:lineRule="auto"/>
        <w:ind w:firstLine="1985"/>
        <w:jc w:val="both"/>
        <w:rPr>
          <w:rFonts w:ascii="Arial" w:hAnsi="Arial" w:cs="Arial"/>
          <w:iCs/>
          <w:sz w:val="22"/>
          <w:szCs w:val="22"/>
        </w:rPr>
      </w:pPr>
      <w:r>
        <w:rPr>
          <w:rFonts w:ascii="Arial" w:hAnsi="Arial" w:cs="Arial"/>
          <w:iCs/>
          <w:sz w:val="22"/>
          <w:szCs w:val="22"/>
        </w:rPr>
        <w:t>Asimismo, y como consecuencia de esta línea interpretativa, di</w:t>
      </w:r>
      <w:r>
        <w:rPr>
          <w:rFonts w:ascii="Arial" w:hAnsi="Arial" w:cs="Arial"/>
          <w:iCs/>
          <w:sz w:val="22"/>
          <w:szCs w:val="22"/>
        </w:rPr>
        <w:t>s</w:t>
      </w:r>
      <w:r>
        <w:rPr>
          <w:rFonts w:ascii="Arial" w:hAnsi="Arial" w:cs="Arial"/>
          <w:iCs/>
          <w:sz w:val="22"/>
          <w:szCs w:val="22"/>
        </w:rPr>
        <w:t>tintos tribunales fueron resolviendo la prevalencia de la legislación nacional no ya en torno al plazo</w:t>
      </w:r>
      <w:r w:rsidR="004E77BC">
        <w:rPr>
          <w:rFonts w:ascii="Arial" w:hAnsi="Arial" w:cs="Arial"/>
          <w:iCs/>
          <w:sz w:val="22"/>
          <w:szCs w:val="22"/>
        </w:rPr>
        <w:t>,</w:t>
      </w:r>
      <w:r>
        <w:rPr>
          <w:rFonts w:ascii="Arial" w:hAnsi="Arial" w:cs="Arial"/>
          <w:iCs/>
          <w:sz w:val="22"/>
          <w:szCs w:val="22"/>
        </w:rPr>
        <w:t xml:space="preserve"> sino a su forma de cómputo y también en lo que respecta a las causales de interrupción y suspensión.</w:t>
      </w:r>
      <w:r w:rsidR="002561C8">
        <w:rPr>
          <w:rFonts w:ascii="Arial" w:hAnsi="Arial" w:cs="Arial"/>
          <w:iCs/>
          <w:sz w:val="22"/>
          <w:szCs w:val="22"/>
        </w:rPr>
        <w:t xml:space="preserve"> </w:t>
      </w:r>
      <w:r w:rsidR="00F241E0">
        <w:rPr>
          <w:rFonts w:ascii="Arial" w:hAnsi="Arial" w:cs="Arial"/>
          <w:iCs/>
          <w:sz w:val="22"/>
          <w:szCs w:val="22"/>
        </w:rPr>
        <w:t xml:space="preserve">Así, </w:t>
      </w:r>
      <w:r w:rsidR="00F241E0" w:rsidRPr="00F241E0">
        <w:rPr>
          <w:rFonts w:ascii="Arial" w:hAnsi="Arial" w:cs="Arial"/>
          <w:sz w:val="22"/>
          <w:szCs w:val="22"/>
        </w:rPr>
        <w:t>la Excma. Cámara de Apelaciones en lo Contenci</w:t>
      </w:r>
      <w:r w:rsidR="00F241E0" w:rsidRPr="00F241E0">
        <w:rPr>
          <w:rFonts w:ascii="Arial" w:hAnsi="Arial" w:cs="Arial"/>
          <w:sz w:val="22"/>
          <w:szCs w:val="22"/>
        </w:rPr>
        <w:t>o</w:t>
      </w:r>
      <w:r w:rsidR="00F241E0" w:rsidRPr="00F241E0">
        <w:rPr>
          <w:rFonts w:ascii="Arial" w:hAnsi="Arial" w:cs="Arial"/>
          <w:sz w:val="22"/>
          <w:szCs w:val="22"/>
        </w:rPr>
        <w:t xml:space="preserve">so Administrativo de Mar del Plata </w:t>
      </w:r>
      <w:r w:rsidR="00F241E0">
        <w:rPr>
          <w:rFonts w:ascii="Arial" w:hAnsi="Arial" w:cs="Arial"/>
          <w:sz w:val="22"/>
          <w:szCs w:val="22"/>
        </w:rPr>
        <w:t>declaró la incons</w:t>
      </w:r>
      <w:r w:rsidR="00F241E0" w:rsidRPr="00F241E0">
        <w:rPr>
          <w:rFonts w:ascii="Arial" w:hAnsi="Arial" w:cs="Arial"/>
          <w:sz w:val="22"/>
          <w:szCs w:val="22"/>
        </w:rPr>
        <w:t xml:space="preserve">titucionalidad </w:t>
      </w:r>
      <w:r w:rsidR="00F241E0">
        <w:rPr>
          <w:rFonts w:ascii="Arial" w:hAnsi="Arial" w:cs="Arial"/>
          <w:sz w:val="22"/>
          <w:szCs w:val="22"/>
        </w:rPr>
        <w:t>de</w:t>
      </w:r>
      <w:r w:rsidR="00F241E0" w:rsidRPr="00F241E0">
        <w:rPr>
          <w:rFonts w:ascii="Arial" w:hAnsi="Arial" w:cs="Arial"/>
          <w:sz w:val="22"/>
          <w:szCs w:val="22"/>
        </w:rPr>
        <w:t>l art. 133 del Cód</w:t>
      </w:r>
      <w:r w:rsidR="00F241E0" w:rsidRPr="00F241E0">
        <w:rPr>
          <w:rFonts w:ascii="Arial" w:hAnsi="Arial" w:cs="Arial"/>
          <w:sz w:val="22"/>
          <w:szCs w:val="22"/>
        </w:rPr>
        <w:t>i</w:t>
      </w:r>
      <w:r w:rsidR="00F241E0" w:rsidRPr="00F241E0">
        <w:rPr>
          <w:rFonts w:ascii="Arial" w:hAnsi="Arial" w:cs="Arial"/>
          <w:sz w:val="22"/>
          <w:szCs w:val="22"/>
        </w:rPr>
        <w:t>go Fiscal</w:t>
      </w:r>
      <w:r w:rsidR="00F241E0">
        <w:rPr>
          <w:rFonts w:ascii="Arial" w:hAnsi="Arial" w:cs="Arial"/>
          <w:sz w:val="22"/>
          <w:szCs w:val="22"/>
        </w:rPr>
        <w:t xml:space="preserve"> provincial</w:t>
      </w:r>
      <w:r w:rsidR="00F241E0" w:rsidRPr="00F241E0">
        <w:rPr>
          <w:rFonts w:ascii="Arial" w:hAnsi="Arial" w:cs="Arial"/>
          <w:sz w:val="22"/>
          <w:szCs w:val="22"/>
        </w:rPr>
        <w:t xml:space="preserve">, referido a la forma de computar el plazo prescriptivo y </w:t>
      </w:r>
      <w:r w:rsidR="00F241E0">
        <w:rPr>
          <w:rFonts w:ascii="Arial" w:hAnsi="Arial" w:cs="Arial"/>
          <w:sz w:val="22"/>
          <w:szCs w:val="22"/>
        </w:rPr>
        <w:t>del</w:t>
      </w:r>
      <w:r w:rsidR="00F241E0" w:rsidRPr="00F241E0">
        <w:rPr>
          <w:rFonts w:ascii="Arial" w:hAnsi="Arial" w:cs="Arial"/>
          <w:sz w:val="22"/>
          <w:szCs w:val="22"/>
        </w:rPr>
        <w:t xml:space="preserve"> art. 135 del mismo cuerpo legal, que se refiere a las causales de suspensión de la prescripción (autos </w:t>
      </w:r>
      <w:r w:rsidR="00F241E0" w:rsidRPr="00F241E0">
        <w:rPr>
          <w:rFonts w:ascii="Arial" w:hAnsi="Arial" w:cs="Arial"/>
          <w:i/>
          <w:sz w:val="22"/>
          <w:szCs w:val="22"/>
        </w:rPr>
        <w:t>Fisco de la Pcia. de Bs. As. c/ Microcontrol SRL y ot. s/ apremio</w:t>
      </w:r>
      <w:r w:rsidR="00F241E0" w:rsidRPr="00F241E0">
        <w:rPr>
          <w:rFonts w:ascii="Arial" w:hAnsi="Arial" w:cs="Arial"/>
          <w:sz w:val="22"/>
          <w:szCs w:val="22"/>
        </w:rPr>
        <w:t>, del 10/09/09</w:t>
      </w:r>
      <w:r w:rsidR="00F241E0">
        <w:rPr>
          <w:rFonts w:ascii="Arial" w:hAnsi="Arial" w:cs="Arial"/>
          <w:sz w:val="22"/>
          <w:szCs w:val="22"/>
        </w:rPr>
        <w:t xml:space="preserve">). </w:t>
      </w:r>
      <w:r w:rsidR="00F241E0">
        <w:rPr>
          <w:rFonts w:ascii="Arial" w:hAnsi="Arial" w:cs="Arial"/>
          <w:sz w:val="22"/>
          <w:szCs w:val="22"/>
        </w:rPr>
        <w:lastRenderedPageBreak/>
        <w:t>Por otro lado, y c</w:t>
      </w:r>
      <w:r w:rsidR="00BD1ED9" w:rsidRPr="009A4F90">
        <w:rPr>
          <w:rFonts w:ascii="Arial" w:hAnsi="Arial" w:cs="Arial"/>
          <w:sz w:val="22"/>
          <w:szCs w:val="22"/>
        </w:rPr>
        <w:t xml:space="preserve">on fecha 14/07/2010 en autos </w:t>
      </w:r>
      <w:r w:rsidR="00BD1ED9" w:rsidRPr="009A4F90">
        <w:rPr>
          <w:rFonts w:ascii="Arial" w:hAnsi="Arial" w:cs="Arial"/>
          <w:i/>
          <w:sz w:val="22"/>
          <w:szCs w:val="22"/>
        </w:rPr>
        <w:t xml:space="preserve">Fisco de la Provincia de Buenos Aires contra Fadra S.R.L., López Osvaldo y Lobato Emilio Tomás. Apremio, </w:t>
      </w:r>
      <w:r w:rsidR="00BD1ED9" w:rsidRPr="009A4F90">
        <w:rPr>
          <w:rFonts w:ascii="Arial" w:hAnsi="Arial" w:cs="Arial"/>
          <w:sz w:val="22"/>
          <w:szCs w:val="22"/>
        </w:rPr>
        <w:t xml:space="preserve"> la </w:t>
      </w:r>
      <w:r w:rsidR="002561C8">
        <w:rPr>
          <w:rFonts w:ascii="Arial" w:hAnsi="Arial" w:cs="Arial"/>
          <w:sz w:val="22"/>
          <w:szCs w:val="22"/>
        </w:rPr>
        <w:t>Suprema Corte de la Provincia de Buenos Aires</w:t>
      </w:r>
      <w:r w:rsidR="00BD1ED9" w:rsidRPr="009A4F90">
        <w:rPr>
          <w:rFonts w:ascii="Arial" w:hAnsi="Arial" w:cs="Arial"/>
          <w:sz w:val="22"/>
          <w:szCs w:val="22"/>
        </w:rPr>
        <w:t xml:space="preserve"> confirma</w:t>
      </w:r>
      <w:r w:rsidR="00BD1ED9">
        <w:rPr>
          <w:rFonts w:ascii="Arial" w:hAnsi="Arial" w:cs="Arial"/>
          <w:sz w:val="22"/>
          <w:szCs w:val="22"/>
        </w:rPr>
        <w:t>ba</w:t>
      </w:r>
      <w:r w:rsidR="00BD1ED9" w:rsidRPr="009A4F90">
        <w:rPr>
          <w:rFonts w:ascii="Arial" w:hAnsi="Arial" w:cs="Arial"/>
          <w:sz w:val="22"/>
          <w:szCs w:val="22"/>
        </w:rPr>
        <w:t xml:space="preserve"> el fallo de</w:t>
      </w:r>
      <w:r w:rsidR="00BD1ED9">
        <w:rPr>
          <w:rFonts w:ascii="Arial" w:hAnsi="Arial" w:cs="Arial"/>
          <w:sz w:val="22"/>
          <w:szCs w:val="22"/>
        </w:rPr>
        <w:t xml:space="preserve"> su a-quo</w:t>
      </w:r>
      <w:r w:rsidR="00BD1ED9" w:rsidRPr="009A4F90">
        <w:rPr>
          <w:rFonts w:ascii="Arial" w:hAnsi="Arial" w:cs="Arial"/>
          <w:sz w:val="22"/>
          <w:szCs w:val="22"/>
        </w:rPr>
        <w:t xml:space="preserve"> que había decl</w:t>
      </w:r>
      <w:r w:rsidR="00BD1ED9" w:rsidRPr="009A4F90">
        <w:rPr>
          <w:rFonts w:ascii="Arial" w:hAnsi="Arial" w:cs="Arial"/>
          <w:sz w:val="22"/>
          <w:szCs w:val="22"/>
        </w:rPr>
        <w:t>a</w:t>
      </w:r>
      <w:r w:rsidR="00BD1ED9" w:rsidRPr="009A4F90">
        <w:rPr>
          <w:rFonts w:ascii="Arial" w:hAnsi="Arial" w:cs="Arial"/>
          <w:sz w:val="22"/>
          <w:szCs w:val="22"/>
        </w:rPr>
        <w:t>rado inconstitucional que la legislación local contempl</w:t>
      </w:r>
      <w:r w:rsidR="002561C8">
        <w:rPr>
          <w:rFonts w:ascii="Arial" w:hAnsi="Arial" w:cs="Arial"/>
          <w:sz w:val="22"/>
          <w:szCs w:val="22"/>
        </w:rPr>
        <w:t>ara</w:t>
      </w:r>
      <w:r w:rsidR="00BD1ED9" w:rsidRPr="009A4F90">
        <w:rPr>
          <w:rFonts w:ascii="Arial" w:hAnsi="Arial" w:cs="Arial"/>
          <w:sz w:val="22"/>
          <w:szCs w:val="22"/>
        </w:rPr>
        <w:t xml:space="preserve"> causales de interrupción de la prescripción ausentes en la legislación de fondo.</w:t>
      </w:r>
      <w:r w:rsidR="00BD1ED9">
        <w:rPr>
          <w:rFonts w:ascii="Arial" w:hAnsi="Arial" w:cs="Arial"/>
          <w:sz w:val="22"/>
          <w:szCs w:val="22"/>
        </w:rPr>
        <w:t xml:space="preserve"> </w:t>
      </w:r>
      <w:r w:rsidR="00F241E0">
        <w:rPr>
          <w:rFonts w:ascii="Arial" w:hAnsi="Arial" w:cs="Arial"/>
          <w:sz w:val="22"/>
          <w:szCs w:val="22"/>
        </w:rPr>
        <w:t xml:space="preserve"> </w:t>
      </w:r>
    </w:p>
    <w:p w:rsidR="00F60E68" w:rsidRDefault="00681A63" w:rsidP="00345F1D">
      <w:pPr>
        <w:pStyle w:val="Textosinformato"/>
        <w:spacing w:line="360" w:lineRule="auto"/>
        <w:ind w:firstLine="1985"/>
        <w:jc w:val="both"/>
        <w:rPr>
          <w:rFonts w:ascii="Arial" w:hAnsi="Arial" w:cs="Arial"/>
          <w:sz w:val="22"/>
          <w:szCs w:val="22"/>
        </w:rPr>
      </w:pPr>
      <w:r>
        <w:rPr>
          <w:rFonts w:ascii="Arial" w:hAnsi="Arial" w:cs="Arial"/>
          <w:sz w:val="22"/>
          <w:szCs w:val="22"/>
        </w:rPr>
        <w:t>Estos argumentos nunca nos</w:t>
      </w:r>
      <w:r w:rsidR="002561C8">
        <w:rPr>
          <w:rFonts w:ascii="Arial" w:hAnsi="Arial" w:cs="Arial"/>
          <w:sz w:val="22"/>
          <w:szCs w:val="22"/>
        </w:rPr>
        <w:t xml:space="preserve"> conmovieron enteramente. Nos e</w:t>
      </w:r>
      <w:r w:rsidR="002561C8">
        <w:rPr>
          <w:rFonts w:ascii="Arial" w:hAnsi="Arial" w:cs="Arial"/>
          <w:sz w:val="22"/>
          <w:szCs w:val="22"/>
        </w:rPr>
        <w:t>x</w:t>
      </w:r>
      <w:r w:rsidR="002561C8">
        <w:rPr>
          <w:rFonts w:ascii="Arial" w:hAnsi="Arial" w:cs="Arial"/>
          <w:sz w:val="22"/>
          <w:szCs w:val="22"/>
        </w:rPr>
        <w:t>plicamos. Si predicamos la autonomía del derecho tributario y señalamos que como consecuencia de ello las provincias y municipios pueden crear los hechos imponibles y establecer las obligaciones tributarias consecuentes, va de suyo que así como las crean pueden determinar cómo se extinguen, sea por prescripción, sea por pago, sea por otro medio.</w:t>
      </w:r>
      <w:r w:rsidR="00345F1D">
        <w:rPr>
          <w:rFonts w:ascii="Arial" w:hAnsi="Arial" w:cs="Arial"/>
          <w:sz w:val="22"/>
          <w:szCs w:val="22"/>
        </w:rPr>
        <w:t xml:space="preserve"> Así se expresaba en el conocido precedente del Superior Tribunal de la ciudad de Buenos Aires</w:t>
      </w:r>
      <w:r w:rsidR="002B5536">
        <w:rPr>
          <w:rFonts w:ascii="Arial" w:hAnsi="Arial" w:cs="Arial"/>
          <w:sz w:val="22"/>
          <w:szCs w:val="22"/>
        </w:rPr>
        <w:t xml:space="preserve"> citado en primer término</w:t>
      </w:r>
      <w:r w:rsidR="00345F1D">
        <w:rPr>
          <w:rFonts w:ascii="Arial" w:hAnsi="Arial" w:cs="Arial"/>
          <w:sz w:val="22"/>
          <w:szCs w:val="22"/>
        </w:rPr>
        <w:t xml:space="preserve">, uno de sus jueces, el Dr. Casás </w:t>
      </w:r>
      <w:r w:rsidR="00345F1D" w:rsidRPr="00345F1D">
        <w:rPr>
          <w:rFonts w:ascii="Arial" w:hAnsi="Arial" w:cs="Arial"/>
          <w:i/>
          <w:sz w:val="22"/>
          <w:szCs w:val="22"/>
        </w:rPr>
        <w:t>"Que... del hecho de que las provincias han delegado expresamente en la Nación la facultad de dictar los códigos de fondo, no es legítimo deducir la voluntad de ellas de aceptar limitaciones a su potestad impositiva que resultan implícitamente de preceptos del C</w:t>
      </w:r>
      <w:r w:rsidR="00345F1D" w:rsidRPr="00345F1D">
        <w:rPr>
          <w:rFonts w:ascii="Arial" w:hAnsi="Arial" w:cs="Arial"/>
          <w:i/>
          <w:sz w:val="22"/>
          <w:szCs w:val="22"/>
        </w:rPr>
        <w:t>ó</w:t>
      </w:r>
      <w:r w:rsidR="00345F1D" w:rsidRPr="00345F1D">
        <w:rPr>
          <w:rFonts w:ascii="Arial" w:hAnsi="Arial" w:cs="Arial"/>
          <w:i/>
          <w:sz w:val="22"/>
          <w:szCs w:val="22"/>
        </w:rPr>
        <w:t>digo Civil: todo lo que parece razonable inferir es que con aquella delegación lo que las provincias han querido es que exista un régimen uniforme en materia de rel</w:t>
      </w:r>
      <w:r w:rsidR="00345F1D" w:rsidRPr="00345F1D">
        <w:rPr>
          <w:rFonts w:ascii="Arial" w:hAnsi="Arial" w:cs="Arial"/>
          <w:i/>
          <w:sz w:val="22"/>
          <w:szCs w:val="22"/>
        </w:rPr>
        <w:t>a</w:t>
      </w:r>
      <w:r w:rsidR="00345F1D" w:rsidRPr="00345F1D">
        <w:rPr>
          <w:rFonts w:ascii="Arial" w:hAnsi="Arial" w:cs="Arial"/>
          <w:i/>
          <w:sz w:val="22"/>
          <w:szCs w:val="22"/>
        </w:rPr>
        <w:t>ciones privadas. El Código Civil no es limitativo del derecho público ni tampoco un d</w:t>
      </w:r>
      <w:r w:rsidR="00345F1D" w:rsidRPr="00345F1D">
        <w:rPr>
          <w:rFonts w:ascii="Arial" w:hAnsi="Arial" w:cs="Arial"/>
          <w:i/>
          <w:sz w:val="22"/>
          <w:szCs w:val="22"/>
        </w:rPr>
        <w:t>e</w:t>
      </w:r>
      <w:r w:rsidR="00345F1D" w:rsidRPr="00345F1D">
        <w:rPr>
          <w:rFonts w:ascii="Arial" w:hAnsi="Arial" w:cs="Arial"/>
          <w:i/>
          <w:sz w:val="22"/>
          <w:szCs w:val="22"/>
        </w:rPr>
        <w:t>recho subsidiario de éste, al menos en su generalidad: el principio es, como se ha d</w:t>
      </w:r>
      <w:r w:rsidR="00345F1D" w:rsidRPr="00345F1D">
        <w:rPr>
          <w:rFonts w:ascii="Arial" w:hAnsi="Arial" w:cs="Arial"/>
          <w:i/>
          <w:sz w:val="22"/>
          <w:szCs w:val="22"/>
        </w:rPr>
        <w:t>i</w:t>
      </w:r>
      <w:r w:rsidR="00345F1D" w:rsidRPr="00345F1D">
        <w:rPr>
          <w:rFonts w:ascii="Arial" w:hAnsi="Arial" w:cs="Arial"/>
          <w:i/>
          <w:sz w:val="22"/>
          <w:szCs w:val="22"/>
        </w:rPr>
        <w:t>cho, el de que 'cada sistema de derecho ha de suplirse por si mismo y, por tanto, una laguna aparente en el sistema del derecho público no debe suplirse por vía de anal</w:t>
      </w:r>
      <w:r w:rsidR="00345F1D" w:rsidRPr="00345F1D">
        <w:rPr>
          <w:rFonts w:ascii="Arial" w:hAnsi="Arial" w:cs="Arial"/>
          <w:i/>
          <w:sz w:val="22"/>
          <w:szCs w:val="22"/>
        </w:rPr>
        <w:t>o</w:t>
      </w:r>
      <w:r w:rsidR="00345F1D" w:rsidRPr="00345F1D">
        <w:rPr>
          <w:rFonts w:ascii="Arial" w:hAnsi="Arial" w:cs="Arial"/>
          <w:i/>
          <w:sz w:val="22"/>
          <w:szCs w:val="22"/>
        </w:rPr>
        <w:t>gía aplicando prescripciones del derecho privado, sino que ha de llenarse con prece</w:t>
      </w:r>
      <w:r w:rsidR="00345F1D" w:rsidRPr="00345F1D">
        <w:rPr>
          <w:rFonts w:ascii="Arial" w:hAnsi="Arial" w:cs="Arial"/>
          <w:i/>
          <w:sz w:val="22"/>
          <w:szCs w:val="22"/>
        </w:rPr>
        <w:t>p</w:t>
      </w:r>
      <w:r w:rsidR="00345F1D" w:rsidRPr="00345F1D">
        <w:rPr>
          <w:rFonts w:ascii="Arial" w:hAnsi="Arial" w:cs="Arial"/>
          <w:i/>
          <w:sz w:val="22"/>
          <w:szCs w:val="22"/>
        </w:rPr>
        <w:t>tos emanados del sector del derecho público'. La mayoría de los preceptos, clasific</w:t>
      </w:r>
      <w:r w:rsidR="00345F1D" w:rsidRPr="00345F1D">
        <w:rPr>
          <w:rFonts w:ascii="Arial" w:hAnsi="Arial" w:cs="Arial"/>
          <w:i/>
          <w:sz w:val="22"/>
          <w:szCs w:val="22"/>
        </w:rPr>
        <w:t>a</w:t>
      </w:r>
      <w:r w:rsidR="00345F1D" w:rsidRPr="00345F1D">
        <w:rPr>
          <w:rFonts w:ascii="Arial" w:hAnsi="Arial" w:cs="Arial"/>
          <w:i/>
          <w:sz w:val="22"/>
          <w:szCs w:val="22"/>
        </w:rPr>
        <w:t>ciones y distinciones del Código Civil no es, por consiguiente, susceptible de ser tra</w:t>
      </w:r>
      <w:r w:rsidR="00345F1D" w:rsidRPr="00345F1D">
        <w:rPr>
          <w:rFonts w:ascii="Arial" w:hAnsi="Arial" w:cs="Arial"/>
          <w:i/>
          <w:sz w:val="22"/>
          <w:szCs w:val="22"/>
        </w:rPr>
        <w:t>s</w:t>
      </w:r>
      <w:r w:rsidR="00345F1D" w:rsidRPr="00345F1D">
        <w:rPr>
          <w:rFonts w:ascii="Arial" w:hAnsi="Arial" w:cs="Arial"/>
          <w:i/>
          <w:sz w:val="22"/>
          <w:szCs w:val="22"/>
        </w:rPr>
        <w:t>ladada al derecho público; sólo una parte menor de aquéllos constituye realmente 'd</w:t>
      </w:r>
      <w:r w:rsidR="00345F1D" w:rsidRPr="00345F1D">
        <w:rPr>
          <w:rFonts w:ascii="Arial" w:hAnsi="Arial" w:cs="Arial"/>
          <w:i/>
          <w:sz w:val="22"/>
          <w:szCs w:val="22"/>
        </w:rPr>
        <w:t>e</w:t>
      </w:r>
      <w:r w:rsidR="00345F1D" w:rsidRPr="00345F1D">
        <w:rPr>
          <w:rFonts w:ascii="Arial" w:hAnsi="Arial" w:cs="Arial"/>
          <w:i/>
          <w:sz w:val="22"/>
          <w:szCs w:val="22"/>
        </w:rPr>
        <w:t>recho c</w:t>
      </w:r>
      <w:r w:rsidR="00345F1D" w:rsidRPr="00345F1D">
        <w:rPr>
          <w:rFonts w:ascii="Arial" w:hAnsi="Arial" w:cs="Arial"/>
          <w:i/>
          <w:sz w:val="22"/>
          <w:szCs w:val="22"/>
        </w:rPr>
        <w:t>o</w:t>
      </w:r>
      <w:r w:rsidR="00345F1D" w:rsidRPr="00345F1D">
        <w:rPr>
          <w:rFonts w:ascii="Arial" w:hAnsi="Arial" w:cs="Arial"/>
          <w:i/>
          <w:sz w:val="22"/>
          <w:szCs w:val="22"/>
        </w:rPr>
        <w:t>mún', es decir, vigente en todo el sistema jurídico.</w:t>
      </w:r>
      <w:r w:rsidR="00345F1D" w:rsidRPr="00345F1D">
        <w:rPr>
          <w:rFonts w:ascii="Arial" w:hAnsi="Arial" w:cs="Arial"/>
          <w:sz w:val="22"/>
          <w:szCs w:val="22"/>
        </w:rPr>
        <w:t xml:space="preserve"> </w:t>
      </w:r>
    </w:p>
    <w:p w:rsidR="00345F1D" w:rsidRDefault="00345F1D" w:rsidP="00F60E68">
      <w:pPr>
        <w:pStyle w:val="Textosinformato"/>
        <w:spacing w:line="360" w:lineRule="auto"/>
        <w:ind w:firstLine="1985"/>
        <w:jc w:val="both"/>
        <w:rPr>
          <w:rFonts w:ascii="Arial" w:hAnsi="Arial" w:cs="Arial"/>
          <w:sz w:val="22"/>
          <w:szCs w:val="22"/>
        </w:rPr>
      </w:pPr>
      <w:r>
        <w:rPr>
          <w:rFonts w:ascii="Arial" w:hAnsi="Arial" w:cs="Arial"/>
          <w:sz w:val="22"/>
          <w:szCs w:val="22"/>
        </w:rPr>
        <w:t xml:space="preserve">En esencia, </w:t>
      </w:r>
      <w:r w:rsidR="00F31C9F">
        <w:rPr>
          <w:rFonts w:ascii="Arial" w:hAnsi="Arial" w:cs="Arial"/>
          <w:sz w:val="22"/>
          <w:szCs w:val="22"/>
        </w:rPr>
        <w:t>las dos posiciones resumen la disputa para dirimir la normativa aplicable y determinar mayor o menor autonomía local</w:t>
      </w:r>
      <w:r>
        <w:rPr>
          <w:rFonts w:ascii="Arial" w:hAnsi="Arial" w:cs="Arial"/>
          <w:sz w:val="22"/>
          <w:szCs w:val="22"/>
        </w:rPr>
        <w:t>.</w:t>
      </w:r>
    </w:p>
    <w:p w:rsidR="002B5536" w:rsidRDefault="002B5536" w:rsidP="002B5536">
      <w:pPr>
        <w:pStyle w:val="Textosinformato"/>
        <w:spacing w:line="360" w:lineRule="auto"/>
        <w:ind w:firstLine="1985"/>
        <w:jc w:val="both"/>
        <w:rPr>
          <w:rFonts w:ascii="Arial" w:hAnsi="Arial" w:cs="Arial"/>
          <w:iCs/>
          <w:sz w:val="22"/>
          <w:szCs w:val="22"/>
        </w:rPr>
      </w:pPr>
      <w:r w:rsidRPr="00F241E0">
        <w:rPr>
          <w:rFonts w:ascii="Arial" w:hAnsi="Arial" w:cs="Arial"/>
          <w:iCs/>
          <w:sz w:val="22"/>
          <w:szCs w:val="22"/>
        </w:rPr>
        <w:t>Eso en lo que res</w:t>
      </w:r>
      <w:r>
        <w:rPr>
          <w:rFonts w:ascii="Arial" w:hAnsi="Arial" w:cs="Arial"/>
          <w:iCs/>
          <w:sz w:val="22"/>
          <w:szCs w:val="22"/>
        </w:rPr>
        <w:t>pecta a la prescripción.</w:t>
      </w:r>
      <w:r w:rsidRPr="00F60E68">
        <w:rPr>
          <w:rFonts w:ascii="Arial" w:hAnsi="Arial" w:cs="Arial"/>
          <w:iCs/>
          <w:sz w:val="22"/>
          <w:szCs w:val="22"/>
        </w:rPr>
        <w:t xml:space="preserve"> </w:t>
      </w:r>
    </w:p>
    <w:p w:rsidR="002B5536" w:rsidRPr="002561C8" w:rsidRDefault="002B5536" w:rsidP="002B5536">
      <w:pPr>
        <w:pStyle w:val="Textosinformato"/>
        <w:spacing w:line="360" w:lineRule="auto"/>
        <w:ind w:firstLine="1985"/>
        <w:jc w:val="both"/>
        <w:rPr>
          <w:rFonts w:ascii="Arial" w:hAnsi="Arial" w:cs="Arial"/>
          <w:sz w:val="22"/>
          <w:szCs w:val="22"/>
        </w:rPr>
      </w:pPr>
      <w:r>
        <w:rPr>
          <w:rFonts w:ascii="Arial" w:hAnsi="Arial" w:cs="Arial"/>
          <w:iCs/>
          <w:sz w:val="22"/>
          <w:szCs w:val="22"/>
        </w:rPr>
        <w:t>Por otro lado, la Corte Suprema de Justicia de la Nación venía sosteniendo que las relaciones entre acreedor y deudor son competencia del legisl</w:t>
      </w:r>
      <w:r>
        <w:rPr>
          <w:rFonts w:ascii="Arial" w:hAnsi="Arial" w:cs="Arial"/>
          <w:iCs/>
          <w:sz w:val="22"/>
          <w:szCs w:val="22"/>
        </w:rPr>
        <w:t>a</w:t>
      </w:r>
      <w:r>
        <w:rPr>
          <w:rFonts w:ascii="Arial" w:hAnsi="Arial" w:cs="Arial"/>
          <w:iCs/>
          <w:sz w:val="22"/>
          <w:szCs w:val="22"/>
        </w:rPr>
        <w:t xml:space="preserve">dor nacional. En esta línea interpretativa y en autos </w:t>
      </w:r>
      <w:r w:rsidRPr="009A4F90">
        <w:rPr>
          <w:rFonts w:ascii="Arial" w:hAnsi="Arial" w:cs="Arial"/>
          <w:i/>
          <w:iCs/>
          <w:sz w:val="22"/>
          <w:szCs w:val="22"/>
        </w:rPr>
        <w:t>Delbes Cecilia y ot. c/ Municipal</w:t>
      </w:r>
      <w:r w:rsidRPr="009A4F90">
        <w:rPr>
          <w:rFonts w:ascii="Arial" w:hAnsi="Arial" w:cs="Arial"/>
          <w:i/>
          <w:iCs/>
          <w:sz w:val="22"/>
          <w:szCs w:val="22"/>
        </w:rPr>
        <w:t>i</w:t>
      </w:r>
      <w:r w:rsidRPr="009A4F90">
        <w:rPr>
          <w:rFonts w:ascii="Arial" w:hAnsi="Arial" w:cs="Arial"/>
          <w:i/>
          <w:iCs/>
          <w:sz w:val="22"/>
          <w:szCs w:val="22"/>
        </w:rPr>
        <w:t>dad del partido de Puan s/ incidente de ejecución</w:t>
      </w:r>
      <w:r w:rsidRPr="009A4F90">
        <w:rPr>
          <w:rFonts w:ascii="Arial" w:hAnsi="Arial" w:cs="Arial"/>
          <w:sz w:val="22"/>
          <w:szCs w:val="22"/>
        </w:rPr>
        <w:t>, del 02/12/2004</w:t>
      </w:r>
      <w:r>
        <w:rPr>
          <w:rFonts w:ascii="Arial" w:hAnsi="Arial" w:cs="Arial"/>
          <w:sz w:val="22"/>
          <w:szCs w:val="22"/>
        </w:rPr>
        <w:t xml:space="preserve">, al tachar </w:t>
      </w:r>
      <w:r w:rsidRPr="009A4F90">
        <w:rPr>
          <w:rFonts w:ascii="Arial" w:hAnsi="Arial" w:cs="Arial"/>
          <w:sz w:val="22"/>
          <w:szCs w:val="22"/>
        </w:rPr>
        <w:t>de incon</w:t>
      </w:r>
      <w:r w:rsidRPr="009A4F90">
        <w:rPr>
          <w:rFonts w:ascii="Arial" w:hAnsi="Arial" w:cs="Arial"/>
          <w:sz w:val="22"/>
          <w:szCs w:val="22"/>
        </w:rPr>
        <w:t>s</w:t>
      </w:r>
      <w:r w:rsidRPr="009A4F90">
        <w:rPr>
          <w:rFonts w:ascii="Arial" w:hAnsi="Arial" w:cs="Arial"/>
          <w:sz w:val="22"/>
          <w:szCs w:val="22"/>
        </w:rPr>
        <w:t>titucional un régimen de consolidación de deudas provincial</w:t>
      </w:r>
      <w:r>
        <w:rPr>
          <w:rFonts w:ascii="Arial" w:hAnsi="Arial" w:cs="Arial"/>
          <w:sz w:val="22"/>
          <w:szCs w:val="22"/>
        </w:rPr>
        <w:t xml:space="preserve"> </w:t>
      </w:r>
      <w:r w:rsidRPr="009A4F90">
        <w:rPr>
          <w:rFonts w:ascii="Arial" w:hAnsi="Arial" w:cs="Arial"/>
          <w:sz w:val="22"/>
          <w:szCs w:val="22"/>
        </w:rPr>
        <w:t>dijo que:</w:t>
      </w:r>
      <w:r>
        <w:rPr>
          <w:rFonts w:ascii="Arial" w:hAnsi="Arial" w:cs="Arial"/>
          <w:sz w:val="22"/>
          <w:szCs w:val="22"/>
        </w:rPr>
        <w:t xml:space="preserve"> </w:t>
      </w:r>
      <w:r w:rsidRPr="00F60E68">
        <w:rPr>
          <w:rFonts w:ascii="Arial" w:hAnsi="Arial" w:cs="Arial"/>
          <w:i/>
          <w:sz w:val="22"/>
          <w:szCs w:val="22"/>
        </w:rPr>
        <w:t xml:space="preserve">“cualesquiera que sean las disposiciones que contengan las leyes locales tendientes a sustraer de la acción de los acreedores los bienes, recursos y rentas del Estado, contrariando los derechos y garantías que acuerda la ley civil, no pueden ser válidamente invocadas, </w:t>
      </w:r>
      <w:r w:rsidRPr="00F60E68">
        <w:rPr>
          <w:rFonts w:ascii="Arial" w:hAnsi="Arial" w:cs="Arial"/>
          <w:i/>
          <w:iCs/>
          <w:sz w:val="22"/>
          <w:szCs w:val="22"/>
        </w:rPr>
        <w:lastRenderedPageBreak/>
        <w:t>pues las relaciones entre el acreedor y deudor son de la exclusiva legislación del Co</w:t>
      </w:r>
      <w:r w:rsidRPr="00F60E68">
        <w:rPr>
          <w:rFonts w:ascii="Arial" w:hAnsi="Arial" w:cs="Arial"/>
          <w:i/>
          <w:iCs/>
          <w:sz w:val="22"/>
          <w:szCs w:val="22"/>
        </w:rPr>
        <w:t>n</w:t>
      </w:r>
      <w:r w:rsidRPr="00F60E68">
        <w:rPr>
          <w:rFonts w:ascii="Arial" w:hAnsi="Arial" w:cs="Arial"/>
          <w:i/>
          <w:iCs/>
          <w:sz w:val="22"/>
          <w:szCs w:val="22"/>
        </w:rPr>
        <w:t>greso Nacional</w:t>
      </w:r>
      <w:r w:rsidRPr="00F60E68">
        <w:rPr>
          <w:rFonts w:ascii="Arial" w:hAnsi="Arial" w:cs="Arial"/>
          <w:i/>
          <w:sz w:val="22"/>
          <w:szCs w:val="22"/>
        </w:rPr>
        <w:t xml:space="preserve"> ...</w:t>
      </w:r>
      <w:r w:rsidRPr="009A4F90">
        <w:rPr>
          <w:rFonts w:ascii="Arial" w:hAnsi="Arial" w:cs="Arial"/>
          <w:sz w:val="22"/>
          <w:szCs w:val="22"/>
        </w:rPr>
        <w:t>”</w:t>
      </w:r>
      <w:r>
        <w:rPr>
          <w:rFonts w:ascii="Arial" w:hAnsi="Arial" w:cs="Arial"/>
          <w:sz w:val="22"/>
          <w:szCs w:val="22"/>
        </w:rPr>
        <w:t xml:space="preserve"> En el mismo sentido </w:t>
      </w:r>
      <w:r>
        <w:rPr>
          <w:rFonts w:ascii="Arial" w:hAnsi="Arial" w:cs="Arial"/>
          <w:i/>
          <w:sz w:val="22"/>
          <w:szCs w:val="22"/>
        </w:rPr>
        <w:t>Vergnano de Rodríguez Susana c/ Provincia de Buenos Aires s/ daños y perjuicios</w:t>
      </w:r>
      <w:r>
        <w:rPr>
          <w:rFonts w:ascii="Arial" w:hAnsi="Arial" w:cs="Arial"/>
          <w:sz w:val="22"/>
          <w:szCs w:val="22"/>
        </w:rPr>
        <w:t>, CSJN, 26/10/2004.</w:t>
      </w:r>
    </w:p>
    <w:p w:rsidR="002B5536" w:rsidRDefault="002B5536" w:rsidP="00F60E68">
      <w:pPr>
        <w:pStyle w:val="Textosinformato"/>
        <w:spacing w:line="360" w:lineRule="auto"/>
        <w:ind w:firstLine="1985"/>
        <w:jc w:val="both"/>
        <w:rPr>
          <w:rFonts w:ascii="Arial" w:hAnsi="Arial" w:cs="Arial"/>
          <w:sz w:val="22"/>
          <w:szCs w:val="22"/>
        </w:rPr>
      </w:pPr>
    </w:p>
    <w:p w:rsidR="00345F1D" w:rsidRDefault="00345F1D" w:rsidP="00345F1D">
      <w:pPr>
        <w:pStyle w:val="Textosinformato"/>
        <w:spacing w:line="360" w:lineRule="auto"/>
        <w:ind w:firstLine="1985"/>
        <w:jc w:val="both"/>
        <w:rPr>
          <w:rFonts w:ascii="Arial" w:hAnsi="Arial" w:cs="Arial"/>
          <w:sz w:val="22"/>
          <w:szCs w:val="22"/>
        </w:rPr>
      </w:pPr>
      <w:r>
        <w:rPr>
          <w:rFonts w:ascii="Arial" w:hAnsi="Arial" w:cs="Arial"/>
          <w:sz w:val="22"/>
          <w:szCs w:val="22"/>
        </w:rPr>
        <w:t xml:space="preserve">2. </w:t>
      </w:r>
    </w:p>
    <w:p w:rsidR="00A63BF6" w:rsidRDefault="00A63BF6" w:rsidP="00345F1D">
      <w:pPr>
        <w:pStyle w:val="Textosinformato"/>
        <w:spacing w:line="360" w:lineRule="auto"/>
        <w:ind w:firstLine="1985"/>
        <w:jc w:val="both"/>
        <w:rPr>
          <w:rFonts w:ascii="Arial" w:hAnsi="Arial" w:cs="Arial"/>
          <w:sz w:val="22"/>
          <w:szCs w:val="22"/>
        </w:rPr>
      </w:pPr>
      <w:r>
        <w:rPr>
          <w:rFonts w:ascii="Arial" w:hAnsi="Arial" w:cs="Arial"/>
          <w:sz w:val="22"/>
          <w:szCs w:val="22"/>
        </w:rPr>
        <w:t>a.</w:t>
      </w:r>
    </w:p>
    <w:p w:rsidR="00345F1D" w:rsidRDefault="00345F1D" w:rsidP="00345F1D">
      <w:pPr>
        <w:pStyle w:val="Textosinformato"/>
        <w:spacing w:line="360" w:lineRule="auto"/>
        <w:ind w:firstLine="1985"/>
        <w:jc w:val="both"/>
        <w:rPr>
          <w:rFonts w:ascii="Arial" w:hAnsi="Arial" w:cs="Arial"/>
          <w:sz w:val="22"/>
          <w:szCs w:val="22"/>
        </w:rPr>
      </w:pPr>
      <w:r>
        <w:rPr>
          <w:rFonts w:ascii="Arial" w:hAnsi="Arial" w:cs="Arial"/>
          <w:sz w:val="22"/>
          <w:szCs w:val="22"/>
        </w:rPr>
        <w:t>La entrada en vigencia del nuevo Código Civil y Comercial de la Nación creemos modificará la jurisprudencia</w:t>
      </w:r>
      <w:r w:rsidR="00F31C9F">
        <w:rPr>
          <w:rFonts w:ascii="Arial" w:hAnsi="Arial" w:cs="Arial"/>
          <w:sz w:val="22"/>
          <w:szCs w:val="22"/>
        </w:rPr>
        <w:t xml:space="preserve"> de la Corte nacional</w:t>
      </w:r>
      <w:r>
        <w:rPr>
          <w:rFonts w:ascii="Arial" w:hAnsi="Arial" w:cs="Arial"/>
          <w:sz w:val="22"/>
          <w:szCs w:val="22"/>
        </w:rPr>
        <w:t xml:space="preserve"> supra citada</w:t>
      </w:r>
      <w:r w:rsidR="00F31C9F">
        <w:rPr>
          <w:rFonts w:ascii="Arial" w:hAnsi="Arial" w:cs="Arial"/>
          <w:sz w:val="22"/>
          <w:szCs w:val="22"/>
        </w:rPr>
        <w:t>,</w:t>
      </w:r>
      <w:r>
        <w:rPr>
          <w:rFonts w:ascii="Arial" w:hAnsi="Arial" w:cs="Arial"/>
          <w:sz w:val="22"/>
          <w:szCs w:val="22"/>
        </w:rPr>
        <w:t xml:space="preserve"> en ta</w:t>
      </w:r>
      <w:r>
        <w:rPr>
          <w:rFonts w:ascii="Arial" w:hAnsi="Arial" w:cs="Arial"/>
          <w:sz w:val="22"/>
          <w:szCs w:val="22"/>
        </w:rPr>
        <w:t>n</w:t>
      </w:r>
      <w:r>
        <w:rPr>
          <w:rFonts w:ascii="Arial" w:hAnsi="Arial" w:cs="Arial"/>
          <w:sz w:val="22"/>
          <w:szCs w:val="22"/>
        </w:rPr>
        <w:t xml:space="preserve">to </w:t>
      </w:r>
      <w:r w:rsidR="00F31C9F">
        <w:rPr>
          <w:rFonts w:ascii="Arial" w:hAnsi="Arial" w:cs="Arial"/>
          <w:sz w:val="22"/>
          <w:szCs w:val="22"/>
        </w:rPr>
        <w:t>q</w:t>
      </w:r>
      <w:r>
        <w:rPr>
          <w:rFonts w:ascii="Arial" w:hAnsi="Arial" w:cs="Arial"/>
          <w:sz w:val="22"/>
          <w:szCs w:val="22"/>
        </w:rPr>
        <w:t xml:space="preserve">ue el legislador nacional ha decidido que </w:t>
      </w:r>
      <w:r>
        <w:rPr>
          <w:rFonts w:ascii="Arial" w:hAnsi="Arial" w:cs="Arial"/>
          <w:i/>
          <w:sz w:val="22"/>
          <w:szCs w:val="22"/>
        </w:rPr>
        <w:t>“las legislaciones locales”</w:t>
      </w:r>
      <w:r>
        <w:rPr>
          <w:rFonts w:ascii="Arial" w:hAnsi="Arial" w:cs="Arial"/>
          <w:sz w:val="22"/>
          <w:szCs w:val="22"/>
        </w:rPr>
        <w:t xml:space="preserve"> podrán regular la prescripción </w:t>
      </w:r>
      <w:r w:rsidR="008F1BA8">
        <w:rPr>
          <w:rFonts w:ascii="Arial" w:hAnsi="Arial" w:cs="Arial"/>
          <w:sz w:val="22"/>
          <w:szCs w:val="22"/>
        </w:rPr>
        <w:t xml:space="preserve">de las obligaciones tributarias </w:t>
      </w:r>
      <w:r>
        <w:rPr>
          <w:rFonts w:ascii="Arial" w:hAnsi="Arial" w:cs="Arial"/>
          <w:sz w:val="22"/>
          <w:szCs w:val="22"/>
        </w:rPr>
        <w:t>(art. 2532 CC y C).</w:t>
      </w:r>
      <w:bookmarkStart w:id="0" w:name="_GoBack"/>
      <w:bookmarkEnd w:id="0"/>
    </w:p>
    <w:p w:rsidR="00345F1D" w:rsidRDefault="00345F1D" w:rsidP="00345F1D">
      <w:pPr>
        <w:pStyle w:val="Textosinformato"/>
        <w:spacing w:line="360" w:lineRule="auto"/>
        <w:ind w:firstLine="1985"/>
        <w:jc w:val="both"/>
        <w:rPr>
          <w:rFonts w:ascii="Arial" w:hAnsi="Arial" w:cs="Arial"/>
          <w:sz w:val="22"/>
          <w:szCs w:val="22"/>
        </w:rPr>
      </w:pPr>
      <w:r>
        <w:rPr>
          <w:rFonts w:ascii="Arial" w:hAnsi="Arial" w:cs="Arial"/>
          <w:sz w:val="22"/>
          <w:szCs w:val="22"/>
        </w:rPr>
        <w:t>La incidencia de la norma es evidente. Independientemente de la posición en la que abrevemos lo cierto es que a partir de la vigencia de la norma cit</w:t>
      </w:r>
      <w:r>
        <w:rPr>
          <w:rFonts w:ascii="Arial" w:hAnsi="Arial" w:cs="Arial"/>
          <w:sz w:val="22"/>
          <w:szCs w:val="22"/>
        </w:rPr>
        <w:t>a</w:t>
      </w:r>
      <w:r>
        <w:rPr>
          <w:rFonts w:ascii="Arial" w:hAnsi="Arial" w:cs="Arial"/>
          <w:sz w:val="22"/>
          <w:szCs w:val="22"/>
        </w:rPr>
        <w:t>da</w:t>
      </w:r>
      <w:r w:rsidR="002B36E1">
        <w:rPr>
          <w:rFonts w:ascii="Arial" w:hAnsi="Arial" w:cs="Arial"/>
          <w:sz w:val="22"/>
          <w:szCs w:val="22"/>
        </w:rPr>
        <w:t>, las provincias (y los municipios) podr</w:t>
      </w:r>
      <w:r w:rsidR="004F0C9F">
        <w:rPr>
          <w:rFonts w:ascii="Arial" w:hAnsi="Arial" w:cs="Arial"/>
          <w:sz w:val="22"/>
          <w:szCs w:val="22"/>
        </w:rPr>
        <w:t>á</w:t>
      </w:r>
      <w:r w:rsidR="002B36E1">
        <w:rPr>
          <w:rFonts w:ascii="Arial" w:hAnsi="Arial" w:cs="Arial"/>
          <w:sz w:val="22"/>
          <w:szCs w:val="22"/>
        </w:rPr>
        <w:t>n regular la prescripción de un modo diverso al regulado en la normativa nacional.</w:t>
      </w:r>
    </w:p>
    <w:p w:rsidR="007F5B0A" w:rsidRDefault="002B36E1" w:rsidP="00345F1D">
      <w:pPr>
        <w:pStyle w:val="Textosinformato"/>
        <w:spacing w:line="360" w:lineRule="auto"/>
        <w:ind w:firstLine="1985"/>
        <w:jc w:val="both"/>
        <w:rPr>
          <w:rFonts w:ascii="Arial" w:hAnsi="Arial" w:cs="Arial"/>
          <w:sz w:val="22"/>
          <w:szCs w:val="22"/>
        </w:rPr>
      </w:pPr>
      <w:r>
        <w:rPr>
          <w:rFonts w:ascii="Arial" w:hAnsi="Arial" w:cs="Arial"/>
          <w:sz w:val="22"/>
          <w:szCs w:val="22"/>
        </w:rPr>
        <w:t xml:space="preserve">Con fecha 09/04/2015, la Sala III de la Cámara de Apelaciones en lo Contencioso Administrativo y Tributario de la ciudad de Buenos Aires, en autos </w:t>
      </w:r>
      <w:r>
        <w:rPr>
          <w:rFonts w:ascii="Arial" w:hAnsi="Arial" w:cs="Arial"/>
          <w:i/>
          <w:sz w:val="22"/>
          <w:szCs w:val="22"/>
        </w:rPr>
        <w:t xml:space="preserve">GCBA c/ Ticketek Argentina S.A., </w:t>
      </w:r>
      <w:r w:rsidR="007E042D">
        <w:rPr>
          <w:rFonts w:ascii="Arial" w:hAnsi="Arial" w:cs="Arial"/>
          <w:sz w:val="22"/>
          <w:szCs w:val="22"/>
        </w:rPr>
        <w:t xml:space="preserve">sostuvo </w:t>
      </w:r>
      <w:r w:rsidR="004F0C9F">
        <w:rPr>
          <w:rFonts w:ascii="Arial" w:hAnsi="Arial" w:cs="Arial"/>
          <w:sz w:val="22"/>
          <w:szCs w:val="22"/>
        </w:rPr>
        <w:t>la aplicación del flamante art. 2532 del C</w:t>
      </w:r>
      <w:r w:rsidR="004F0C9F">
        <w:rPr>
          <w:rFonts w:ascii="Arial" w:hAnsi="Arial" w:cs="Arial"/>
          <w:sz w:val="22"/>
          <w:szCs w:val="22"/>
        </w:rPr>
        <w:t>ó</w:t>
      </w:r>
      <w:r w:rsidR="004F0C9F">
        <w:rPr>
          <w:rFonts w:ascii="Arial" w:hAnsi="Arial" w:cs="Arial"/>
          <w:sz w:val="22"/>
          <w:szCs w:val="22"/>
        </w:rPr>
        <w:t>digo Civil y Comercial de la Nación, dejando de lado la jurisprudencia de la Corte n</w:t>
      </w:r>
      <w:r w:rsidR="004F0C9F">
        <w:rPr>
          <w:rFonts w:ascii="Arial" w:hAnsi="Arial" w:cs="Arial"/>
          <w:sz w:val="22"/>
          <w:szCs w:val="22"/>
        </w:rPr>
        <w:t>a</w:t>
      </w:r>
      <w:r w:rsidR="004F0C9F">
        <w:rPr>
          <w:rFonts w:ascii="Arial" w:hAnsi="Arial" w:cs="Arial"/>
          <w:sz w:val="22"/>
          <w:szCs w:val="22"/>
        </w:rPr>
        <w:t>cional supra cita</w:t>
      </w:r>
      <w:r w:rsidR="007F5B0A">
        <w:rPr>
          <w:rFonts w:ascii="Arial" w:hAnsi="Arial" w:cs="Arial"/>
          <w:sz w:val="22"/>
          <w:szCs w:val="22"/>
        </w:rPr>
        <w:t xml:space="preserve">da. La particularidad del precedente es que propone la </w:t>
      </w:r>
      <w:r w:rsidR="008F1BA8">
        <w:rPr>
          <w:rFonts w:ascii="Arial" w:hAnsi="Arial" w:cs="Arial"/>
          <w:sz w:val="22"/>
          <w:szCs w:val="22"/>
        </w:rPr>
        <w:t xml:space="preserve">inteligencia </w:t>
      </w:r>
      <w:r w:rsidR="007F5B0A">
        <w:rPr>
          <w:rFonts w:ascii="Arial" w:hAnsi="Arial" w:cs="Arial"/>
          <w:sz w:val="22"/>
          <w:szCs w:val="22"/>
        </w:rPr>
        <w:t>de la norma para una relación tributaria regida por la legislación anterior. Cre</w:t>
      </w:r>
      <w:r w:rsidR="007F5B0A">
        <w:rPr>
          <w:rFonts w:ascii="Arial" w:hAnsi="Arial" w:cs="Arial"/>
          <w:sz w:val="22"/>
          <w:szCs w:val="22"/>
        </w:rPr>
        <w:t>e</w:t>
      </w:r>
      <w:r w:rsidR="007F5B0A">
        <w:rPr>
          <w:rFonts w:ascii="Arial" w:hAnsi="Arial" w:cs="Arial"/>
          <w:sz w:val="22"/>
          <w:szCs w:val="22"/>
        </w:rPr>
        <w:t xml:space="preserve">mos que el fallo en cuestión adelanta el debate </w:t>
      </w:r>
      <w:r w:rsidR="008F1BA8">
        <w:rPr>
          <w:rFonts w:ascii="Arial" w:hAnsi="Arial" w:cs="Arial"/>
          <w:sz w:val="22"/>
          <w:szCs w:val="22"/>
        </w:rPr>
        <w:t>(</w:t>
      </w:r>
      <w:r w:rsidR="007F5B0A">
        <w:rPr>
          <w:rFonts w:ascii="Arial" w:hAnsi="Arial" w:cs="Arial"/>
          <w:sz w:val="22"/>
          <w:szCs w:val="22"/>
        </w:rPr>
        <w:t xml:space="preserve">pero </w:t>
      </w:r>
      <w:r w:rsidR="008F1BA8">
        <w:rPr>
          <w:rFonts w:ascii="Arial" w:hAnsi="Arial" w:cs="Arial"/>
          <w:sz w:val="22"/>
          <w:szCs w:val="22"/>
        </w:rPr>
        <w:t>y</w:t>
      </w:r>
      <w:r w:rsidR="007F5B0A">
        <w:rPr>
          <w:rFonts w:ascii="Arial" w:hAnsi="Arial" w:cs="Arial"/>
          <w:sz w:val="22"/>
          <w:szCs w:val="22"/>
        </w:rPr>
        <w:t>erra en el caso elegido</w:t>
      </w:r>
      <w:r w:rsidR="008F1BA8">
        <w:rPr>
          <w:rFonts w:ascii="Arial" w:hAnsi="Arial" w:cs="Arial"/>
          <w:sz w:val="22"/>
          <w:szCs w:val="22"/>
        </w:rPr>
        <w:t xml:space="preserve">) y </w:t>
      </w:r>
      <w:r w:rsidR="007F5B0A">
        <w:rPr>
          <w:rFonts w:ascii="Arial" w:hAnsi="Arial" w:cs="Arial"/>
          <w:sz w:val="22"/>
          <w:szCs w:val="22"/>
        </w:rPr>
        <w:t>que la sol</w:t>
      </w:r>
      <w:r w:rsidR="007F5B0A">
        <w:rPr>
          <w:rFonts w:ascii="Arial" w:hAnsi="Arial" w:cs="Arial"/>
          <w:sz w:val="22"/>
          <w:szCs w:val="22"/>
        </w:rPr>
        <w:t>u</w:t>
      </w:r>
      <w:r w:rsidR="007F5B0A">
        <w:rPr>
          <w:rFonts w:ascii="Arial" w:hAnsi="Arial" w:cs="Arial"/>
          <w:sz w:val="22"/>
          <w:szCs w:val="22"/>
        </w:rPr>
        <w:t>ción que propicia es válida para los casos que deban regirse por la nueva legisl</w:t>
      </w:r>
      <w:r w:rsidR="007F5B0A">
        <w:rPr>
          <w:rFonts w:ascii="Arial" w:hAnsi="Arial" w:cs="Arial"/>
          <w:sz w:val="22"/>
          <w:szCs w:val="22"/>
        </w:rPr>
        <w:t>a</w:t>
      </w:r>
      <w:r w:rsidR="007F5B0A">
        <w:rPr>
          <w:rFonts w:ascii="Arial" w:hAnsi="Arial" w:cs="Arial"/>
          <w:sz w:val="22"/>
          <w:szCs w:val="22"/>
        </w:rPr>
        <w:t xml:space="preserve">ción </w:t>
      </w:r>
      <w:r w:rsidR="008F1BA8">
        <w:rPr>
          <w:rFonts w:ascii="Arial" w:hAnsi="Arial" w:cs="Arial"/>
          <w:sz w:val="22"/>
          <w:szCs w:val="22"/>
        </w:rPr>
        <w:t>(</w:t>
      </w:r>
      <w:r w:rsidR="007F5B0A">
        <w:rPr>
          <w:rFonts w:ascii="Arial" w:hAnsi="Arial" w:cs="Arial"/>
          <w:sz w:val="22"/>
          <w:szCs w:val="22"/>
        </w:rPr>
        <w:t>pero no para el que allí se discutía</w:t>
      </w:r>
      <w:r w:rsidR="008F1BA8">
        <w:rPr>
          <w:rFonts w:ascii="Arial" w:hAnsi="Arial" w:cs="Arial"/>
          <w:sz w:val="22"/>
          <w:szCs w:val="22"/>
        </w:rPr>
        <w:t>)</w:t>
      </w:r>
      <w:r w:rsidR="007F5B0A">
        <w:rPr>
          <w:rFonts w:ascii="Arial" w:hAnsi="Arial" w:cs="Arial"/>
          <w:sz w:val="22"/>
          <w:szCs w:val="22"/>
        </w:rPr>
        <w:t>. Esa es la posición de la minoría, según lúc</w:t>
      </w:r>
      <w:r w:rsidR="007F5B0A">
        <w:rPr>
          <w:rFonts w:ascii="Arial" w:hAnsi="Arial" w:cs="Arial"/>
          <w:sz w:val="22"/>
          <w:szCs w:val="22"/>
        </w:rPr>
        <w:t>i</w:t>
      </w:r>
      <w:r w:rsidR="007F5B0A">
        <w:rPr>
          <w:rFonts w:ascii="Arial" w:hAnsi="Arial" w:cs="Arial"/>
          <w:sz w:val="22"/>
          <w:szCs w:val="22"/>
        </w:rPr>
        <w:t>do voto del Dr. Centanaro.</w:t>
      </w:r>
    </w:p>
    <w:p w:rsidR="007F5B0A" w:rsidRDefault="007F5B0A" w:rsidP="00345F1D">
      <w:pPr>
        <w:pStyle w:val="Textosinformato"/>
        <w:spacing w:line="360" w:lineRule="auto"/>
        <w:ind w:firstLine="1985"/>
        <w:jc w:val="both"/>
        <w:rPr>
          <w:rFonts w:ascii="Arial" w:hAnsi="Arial" w:cs="Arial"/>
          <w:sz w:val="22"/>
          <w:szCs w:val="22"/>
        </w:rPr>
      </w:pPr>
      <w:r>
        <w:rPr>
          <w:rFonts w:ascii="Arial" w:hAnsi="Arial" w:cs="Arial"/>
          <w:sz w:val="22"/>
          <w:szCs w:val="22"/>
        </w:rPr>
        <w:t>El caso adelanta y promueve el debate. En nuestro modo de ver, la disposición del Código supra citada es clara y de algún modo responde a la exho</w:t>
      </w:r>
      <w:r>
        <w:rPr>
          <w:rFonts w:ascii="Arial" w:hAnsi="Arial" w:cs="Arial"/>
          <w:sz w:val="22"/>
          <w:szCs w:val="22"/>
        </w:rPr>
        <w:t>r</w:t>
      </w:r>
      <w:r>
        <w:rPr>
          <w:rFonts w:ascii="Arial" w:hAnsi="Arial" w:cs="Arial"/>
          <w:sz w:val="22"/>
          <w:szCs w:val="22"/>
        </w:rPr>
        <w:t xml:space="preserve">tación que hiciera en más de una oportunidad la Dra. Argibay para que el Congreso Nacional determine si la interpretación que </w:t>
      </w:r>
      <w:r w:rsidR="00585621">
        <w:rPr>
          <w:rFonts w:ascii="Arial" w:hAnsi="Arial" w:cs="Arial"/>
          <w:sz w:val="22"/>
          <w:szCs w:val="22"/>
        </w:rPr>
        <w:t>hacía</w:t>
      </w:r>
      <w:r>
        <w:rPr>
          <w:rFonts w:ascii="Arial" w:hAnsi="Arial" w:cs="Arial"/>
          <w:sz w:val="22"/>
          <w:szCs w:val="22"/>
        </w:rPr>
        <w:t xml:space="preserve"> nuestro máximo tribunal naci</w:t>
      </w:r>
      <w:r>
        <w:rPr>
          <w:rFonts w:ascii="Arial" w:hAnsi="Arial" w:cs="Arial"/>
          <w:sz w:val="22"/>
          <w:szCs w:val="22"/>
        </w:rPr>
        <w:t>o</w:t>
      </w:r>
      <w:r>
        <w:rPr>
          <w:rFonts w:ascii="Arial" w:hAnsi="Arial" w:cs="Arial"/>
          <w:sz w:val="22"/>
          <w:szCs w:val="22"/>
        </w:rPr>
        <w:t>nal era la adecuada (Municipalidad de Resistencia c/ Lubricom, 08/09/2009, CSJN).</w:t>
      </w:r>
    </w:p>
    <w:p w:rsidR="002B36E1" w:rsidRDefault="007F5B0A" w:rsidP="00345F1D">
      <w:pPr>
        <w:pStyle w:val="Textosinformato"/>
        <w:spacing w:line="360" w:lineRule="auto"/>
        <w:ind w:firstLine="1985"/>
        <w:jc w:val="both"/>
        <w:rPr>
          <w:rFonts w:ascii="Arial" w:hAnsi="Arial" w:cs="Arial"/>
          <w:sz w:val="22"/>
          <w:szCs w:val="22"/>
        </w:rPr>
      </w:pPr>
      <w:r>
        <w:rPr>
          <w:rFonts w:ascii="Arial" w:hAnsi="Arial" w:cs="Arial"/>
          <w:sz w:val="22"/>
          <w:szCs w:val="22"/>
        </w:rPr>
        <w:t>Creemos que el art. 2532 determina que las provincias y munic</w:t>
      </w:r>
      <w:r>
        <w:rPr>
          <w:rFonts w:ascii="Arial" w:hAnsi="Arial" w:cs="Arial"/>
          <w:sz w:val="22"/>
          <w:szCs w:val="22"/>
        </w:rPr>
        <w:t>i</w:t>
      </w:r>
      <w:r>
        <w:rPr>
          <w:rFonts w:ascii="Arial" w:hAnsi="Arial" w:cs="Arial"/>
          <w:sz w:val="22"/>
          <w:szCs w:val="22"/>
        </w:rPr>
        <w:t xml:space="preserve">pios pueden regular la prescripción </w:t>
      </w:r>
      <w:r w:rsidR="00F31C9F">
        <w:rPr>
          <w:rFonts w:ascii="Arial" w:hAnsi="Arial" w:cs="Arial"/>
          <w:sz w:val="22"/>
          <w:szCs w:val="22"/>
        </w:rPr>
        <w:t xml:space="preserve">tributaria </w:t>
      </w:r>
      <w:r>
        <w:rPr>
          <w:rFonts w:ascii="Arial" w:hAnsi="Arial" w:cs="Arial"/>
          <w:sz w:val="22"/>
          <w:szCs w:val="22"/>
        </w:rPr>
        <w:t>tal como prefieran, tal como les plazca, sin otro límite q</w:t>
      </w:r>
      <w:r w:rsidR="00A63BF6">
        <w:rPr>
          <w:rFonts w:ascii="Arial" w:hAnsi="Arial" w:cs="Arial"/>
          <w:sz w:val="22"/>
          <w:szCs w:val="22"/>
        </w:rPr>
        <w:t xml:space="preserve">ue la razonabilidad. La </w:t>
      </w:r>
      <w:r w:rsidR="002B5536">
        <w:rPr>
          <w:rFonts w:ascii="Arial" w:hAnsi="Arial" w:cs="Arial"/>
          <w:sz w:val="22"/>
          <w:szCs w:val="22"/>
        </w:rPr>
        <w:t xml:space="preserve">inserción de la </w:t>
      </w:r>
      <w:r w:rsidR="00A63BF6">
        <w:rPr>
          <w:rFonts w:ascii="Arial" w:hAnsi="Arial" w:cs="Arial"/>
          <w:sz w:val="22"/>
          <w:szCs w:val="22"/>
        </w:rPr>
        <w:t>norma de marras admite dos i</w:t>
      </w:r>
      <w:r w:rsidR="00A63BF6">
        <w:rPr>
          <w:rFonts w:ascii="Arial" w:hAnsi="Arial" w:cs="Arial"/>
          <w:sz w:val="22"/>
          <w:szCs w:val="22"/>
        </w:rPr>
        <w:t>n</w:t>
      </w:r>
      <w:r w:rsidR="00A63BF6">
        <w:rPr>
          <w:rFonts w:ascii="Arial" w:hAnsi="Arial" w:cs="Arial"/>
          <w:sz w:val="22"/>
          <w:szCs w:val="22"/>
        </w:rPr>
        <w:t>terpretaciones. O bien el legislador nacional re</w:t>
      </w:r>
      <w:r w:rsidR="00F31C9F">
        <w:rPr>
          <w:rFonts w:ascii="Arial" w:hAnsi="Arial" w:cs="Arial"/>
          <w:sz w:val="22"/>
          <w:szCs w:val="22"/>
        </w:rPr>
        <w:t>conoció</w:t>
      </w:r>
      <w:r w:rsidR="00A63BF6">
        <w:rPr>
          <w:rFonts w:ascii="Arial" w:hAnsi="Arial" w:cs="Arial"/>
          <w:sz w:val="22"/>
          <w:szCs w:val="22"/>
        </w:rPr>
        <w:t xml:space="preserve"> la potestad del instituto a las pr</w:t>
      </w:r>
      <w:r w:rsidR="00A63BF6">
        <w:rPr>
          <w:rFonts w:ascii="Arial" w:hAnsi="Arial" w:cs="Arial"/>
          <w:sz w:val="22"/>
          <w:szCs w:val="22"/>
        </w:rPr>
        <w:t>o</w:t>
      </w:r>
      <w:r w:rsidR="00A63BF6">
        <w:rPr>
          <w:rFonts w:ascii="Arial" w:hAnsi="Arial" w:cs="Arial"/>
          <w:sz w:val="22"/>
          <w:szCs w:val="22"/>
        </w:rPr>
        <w:t>vincias, o bien la estableció a partir de la fecha. Una u otra posición se seguirá en fu</w:t>
      </w:r>
      <w:r w:rsidR="00A63BF6">
        <w:rPr>
          <w:rFonts w:ascii="Arial" w:hAnsi="Arial" w:cs="Arial"/>
          <w:sz w:val="22"/>
          <w:szCs w:val="22"/>
        </w:rPr>
        <w:t>n</w:t>
      </w:r>
      <w:r w:rsidR="00A63BF6">
        <w:rPr>
          <w:rFonts w:ascii="Arial" w:hAnsi="Arial" w:cs="Arial"/>
          <w:sz w:val="22"/>
          <w:szCs w:val="22"/>
        </w:rPr>
        <w:t xml:space="preserve">ción de que doctrina se consideraba aplicable. En cualquier caso, creemos que la norma </w:t>
      </w:r>
      <w:r w:rsidR="002B5536">
        <w:rPr>
          <w:rFonts w:ascii="Arial" w:hAnsi="Arial" w:cs="Arial"/>
          <w:sz w:val="22"/>
          <w:szCs w:val="22"/>
        </w:rPr>
        <w:t>aludida</w:t>
      </w:r>
      <w:r w:rsidR="00A63BF6">
        <w:rPr>
          <w:rFonts w:ascii="Arial" w:hAnsi="Arial" w:cs="Arial"/>
          <w:sz w:val="22"/>
          <w:szCs w:val="22"/>
        </w:rPr>
        <w:t xml:space="preserve"> termina con el debate en torno a la prescripción.</w:t>
      </w:r>
      <w:r w:rsidR="004F0C9F">
        <w:rPr>
          <w:rFonts w:ascii="Arial" w:hAnsi="Arial" w:cs="Arial"/>
          <w:sz w:val="22"/>
          <w:szCs w:val="22"/>
        </w:rPr>
        <w:t xml:space="preserve"> </w:t>
      </w:r>
      <w:r w:rsidR="00A63BF6">
        <w:rPr>
          <w:rFonts w:ascii="Arial" w:hAnsi="Arial" w:cs="Arial"/>
          <w:sz w:val="22"/>
          <w:szCs w:val="22"/>
        </w:rPr>
        <w:t>Porque no encontr</w:t>
      </w:r>
      <w:r w:rsidR="00A63BF6">
        <w:rPr>
          <w:rFonts w:ascii="Arial" w:hAnsi="Arial" w:cs="Arial"/>
          <w:sz w:val="22"/>
          <w:szCs w:val="22"/>
        </w:rPr>
        <w:t>a</w:t>
      </w:r>
      <w:r w:rsidR="00A63BF6">
        <w:rPr>
          <w:rFonts w:ascii="Arial" w:hAnsi="Arial" w:cs="Arial"/>
          <w:sz w:val="22"/>
          <w:szCs w:val="22"/>
        </w:rPr>
        <w:t>mos argumentos para sostener la inconstitucionalidad del artículo. Si como d</w:t>
      </w:r>
      <w:r w:rsidR="00A63BF6">
        <w:rPr>
          <w:rFonts w:ascii="Arial" w:hAnsi="Arial" w:cs="Arial"/>
          <w:sz w:val="22"/>
          <w:szCs w:val="22"/>
        </w:rPr>
        <w:t>e</w:t>
      </w:r>
      <w:r w:rsidR="00A63BF6">
        <w:rPr>
          <w:rFonts w:ascii="Arial" w:hAnsi="Arial" w:cs="Arial"/>
          <w:sz w:val="22"/>
          <w:szCs w:val="22"/>
        </w:rPr>
        <w:t xml:space="preserve">cía la </w:t>
      </w:r>
      <w:r w:rsidR="00A63BF6">
        <w:rPr>
          <w:rFonts w:ascii="Arial" w:hAnsi="Arial" w:cs="Arial"/>
          <w:sz w:val="22"/>
          <w:szCs w:val="22"/>
        </w:rPr>
        <w:lastRenderedPageBreak/>
        <w:t xml:space="preserve">Corte correspondía al Congreso Nacional la regulación de las relaciones entre deudor y acreedor bien puede ese mismo legislador </w:t>
      </w:r>
      <w:r w:rsidR="00585621">
        <w:rPr>
          <w:rFonts w:ascii="Arial" w:hAnsi="Arial" w:cs="Arial"/>
          <w:sz w:val="22"/>
          <w:szCs w:val="22"/>
        </w:rPr>
        <w:t>permitir</w:t>
      </w:r>
      <w:r w:rsidR="00A63BF6">
        <w:rPr>
          <w:rFonts w:ascii="Arial" w:hAnsi="Arial" w:cs="Arial"/>
          <w:sz w:val="22"/>
          <w:szCs w:val="22"/>
        </w:rPr>
        <w:t xml:space="preserve"> que la prescripción pueda reg</w:t>
      </w:r>
      <w:r w:rsidR="00A63BF6">
        <w:rPr>
          <w:rFonts w:ascii="Arial" w:hAnsi="Arial" w:cs="Arial"/>
          <w:sz w:val="22"/>
          <w:szCs w:val="22"/>
        </w:rPr>
        <w:t>u</w:t>
      </w:r>
      <w:r w:rsidR="00A63BF6">
        <w:rPr>
          <w:rFonts w:ascii="Arial" w:hAnsi="Arial" w:cs="Arial"/>
          <w:sz w:val="22"/>
          <w:szCs w:val="22"/>
        </w:rPr>
        <w:t>larse de un m</w:t>
      </w:r>
      <w:r w:rsidR="00A63BF6">
        <w:rPr>
          <w:rFonts w:ascii="Arial" w:hAnsi="Arial" w:cs="Arial"/>
          <w:sz w:val="22"/>
          <w:szCs w:val="22"/>
        </w:rPr>
        <w:t>o</w:t>
      </w:r>
      <w:r w:rsidR="00A63BF6">
        <w:rPr>
          <w:rFonts w:ascii="Arial" w:hAnsi="Arial" w:cs="Arial"/>
          <w:sz w:val="22"/>
          <w:szCs w:val="22"/>
        </w:rPr>
        <w:t>do diverso por las legislaciones locales.</w:t>
      </w:r>
    </w:p>
    <w:p w:rsidR="00A63BF6" w:rsidRDefault="00A63BF6" w:rsidP="00345F1D">
      <w:pPr>
        <w:pStyle w:val="Textosinformato"/>
        <w:spacing w:line="360" w:lineRule="auto"/>
        <w:ind w:firstLine="1985"/>
        <w:jc w:val="both"/>
        <w:rPr>
          <w:rFonts w:ascii="Arial" w:hAnsi="Arial" w:cs="Arial"/>
          <w:sz w:val="22"/>
          <w:szCs w:val="22"/>
        </w:rPr>
      </w:pPr>
      <w:r>
        <w:rPr>
          <w:rFonts w:ascii="Arial" w:hAnsi="Arial" w:cs="Arial"/>
          <w:sz w:val="22"/>
          <w:szCs w:val="22"/>
        </w:rPr>
        <w:t>Entendemos también que la norma comprende no solo la fijación del plazo, sino también la forma de cómputo, y los modos de suspenderla e interru</w:t>
      </w:r>
      <w:r>
        <w:rPr>
          <w:rFonts w:ascii="Arial" w:hAnsi="Arial" w:cs="Arial"/>
          <w:sz w:val="22"/>
          <w:szCs w:val="22"/>
        </w:rPr>
        <w:t>m</w:t>
      </w:r>
      <w:r>
        <w:rPr>
          <w:rFonts w:ascii="Arial" w:hAnsi="Arial" w:cs="Arial"/>
          <w:sz w:val="22"/>
          <w:szCs w:val="22"/>
        </w:rPr>
        <w:t>pirla.</w:t>
      </w:r>
    </w:p>
    <w:p w:rsidR="00A63BF6" w:rsidRDefault="00A63BF6" w:rsidP="00345F1D">
      <w:pPr>
        <w:pStyle w:val="Textosinformato"/>
        <w:spacing w:line="360" w:lineRule="auto"/>
        <w:ind w:firstLine="1985"/>
        <w:jc w:val="both"/>
        <w:rPr>
          <w:rFonts w:ascii="Arial" w:hAnsi="Arial" w:cs="Arial"/>
          <w:sz w:val="22"/>
          <w:szCs w:val="22"/>
        </w:rPr>
      </w:pPr>
    </w:p>
    <w:p w:rsidR="00A63BF6" w:rsidRDefault="00A63BF6" w:rsidP="00345F1D">
      <w:pPr>
        <w:pStyle w:val="Textosinformato"/>
        <w:spacing w:line="360" w:lineRule="auto"/>
        <w:ind w:firstLine="1985"/>
        <w:jc w:val="both"/>
        <w:rPr>
          <w:rFonts w:ascii="Arial" w:hAnsi="Arial" w:cs="Arial"/>
          <w:sz w:val="22"/>
          <w:szCs w:val="22"/>
        </w:rPr>
      </w:pPr>
      <w:r>
        <w:rPr>
          <w:rFonts w:ascii="Arial" w:hAnsi="Arial" w:cs="Arial"/>
          <w:sz w:val="22"/>
          <w:szCs w:val="22"/>
        </w:rPr>
        <w:t>b.</w:t>
      </w:r>
    </w:p>
    <w:p w:rsidR="00067A5A" w:rsidRDefault="00A63BF6" w:rsidP="00345F1D">
      <w:pPr>
        <w:pStyle w:val="Textosinformato"/>
        <w:spacing w:line="360" w:lineRule="auto"/>
        <w:ind w:firstLine="1985"/>
        <w:jc w:val="both"/>
        <w:rPr>
          <w:rFonts w:ascii="Arial" w:hAnsi="Arial" w:cs="Arial"/>
          <w:sz w:val="22"/>
          <w:szCs w:val="22"/>
        </w:rPr>
      </w:pPr>
      <w:r>
        <w:rPr>
          <w:rFonts w:ascii="Arial" w:hAnsi="Arial" w:cs="Arial"/>
          <w:sz w:val="22"/>
          <w:szCs w:val="22"/>
        </w:rPr>
        <w:t xml:space="preserve">No creemos que la norma citada (y en rigor, todo el nuevo Código) puedan modificar la idea que tiene la Corte nacional en torno </w:t>
      </w:r>
      <w:r w:rsidR="005A3461">
        <w:rPr>
          <w:rFonts w:ascii="Arial" w:hAnsi="Arial" w:cs="Arial"/>
          <w:sz w:val="22"/>
          <w:szCs w:val="22"/>
        </w:rPr>
        <w:t xml:space="preserve">a quién y cómo debe regular las relaciones entre acreedor y deudor. En fecha reciente, autos </w:t>
      </w:r>
      <w:r w:rsidR="005A3461">
        <w:rPr>
          <w:rFonts w:ascii="Arial" w:hAnsi="Arial" w:cs="Arial"/>
          <w:i/>
          <w:sz w:val="22"/>
          <w:szCs w:val="22"/>
        </w:rPr>
        <w:t xml:space="preserve">Ragone Adelma c/ Dirección General de Escuelas, </w:t>
      </w:r>
      <w:r w:rsidR="005A3461">
        <w:rPr>
          <w:rFonts w:ascii="Arial" w:hAnsi="Arial" w:cs="Arial"/>
          <w:sz w:val="22"/>
          <w:szCs w:val="22"/>
        </w:rPr>
        <w:t>del 30/09/2014, la casación nacional ratificó que los regímenes de consolidación de deuda provinciales son válidos en tanto no se contrapongan a los que tenga establecido la Nación. En otros términos, las leyes de consolidación provinciales no pueden tener condiciones más gravosas que las naci</w:t>
      </w:r>
      <w:r w:rsidR="005A3461">
        <w:rPr>
          <w:rFonts w:ascii="Arial" w:hAnsi="Arial" w:cs="Arial"/>
          <w:sz w:val="22"/>
          <w:szCs w:val="22"/>
        </w:rPr>
        <w:t>o</w:t>
      </w:r>
      <w:r w:rsidR="005A3461">
        <w:rPr>
          <w:rFonts w:ascii="Arial" w:hAnsi="Arial" w:cs="Arial"/>
          <w:sz w:val="22"/>
          <w:szCs w:val="22"/>
        </w:rPr>
        <w:t xml:space="preserve">nales. </w:t>
      </w:r>
    </w:p>
    <w:p w:rsidR="00F31C9F" w:rsidRDefault="005A3461" w:rsidP="00345F1D">
      <w:pPr>
        <w:pStyle w:val="Textosinformato"/>
        <w:spacing w:line="360" w:lineRule="auto"/>
        <w:ind w:firstLine="1985"/>
        <w:jc w:val="both"/>
        <w:rPr>
          <w:rFonts w:ascii="Arial" w:hAnsi="Arial" w:cs="Arial"/>
          <w:sz w:val="22"/>
          <w:szCs w:val="22"/>
        </w:rPr>
      </w:pPr>
      <w:r>
        <w:rPr>
          <w:rFonts w:ascii="Arial" w:hAnsi="Arial" w:cs="Arial"/>
          <w:sz w:val="22"/>
          <w:szCs w:val="22"/>
        </w:rPr>
        <w:t xml:space="preserve">En esa línea interpretativa, </w:t>
      </w:r>
      <w:r w:rsidR="00067A5A">
        <w:rPr>
          <w:rFonts w:ascii="Arial" w:hAnsi="Arial" w:cs="Arial"/>
          <w:sz w:val="22"/>
          <w:szCs w:val="22"/>
        </w:rPr>
        <w:t xml:space="preserve">la Cámara de Apelaciones en lo Civil y Comercial de Bahía Blanca, en autos </w:t>
      </w:r>
      <w:r w:rsidR="00067A5A">
        <w:rPr>
          <w:rFonts w:ascii="Arial" w:hAnsi="Arial" w:cs="Arial"/>
          <w:i/>
          <w:sz w:val="22"/>
          <w:szCs w:val="22"/>
        </w:rPr>
        <w:t>Fisco de la Provincia de Buenos Aires inc. de revisión  en autos Colantonio Antonio s/ concurso</w:t>
      </w:r>
      <w:r w:rsidR="00067A5A">
        <w:rPr>
          <w:rFonts w:ascii="Arial" w:hAnsi="Arial" w:cs="Arial"/>
          <w:sz w:val="22"/>
          <w:szCs w:val="22"/>
        </w:rPr>
        <w:t>, de fecha 19/08/2005, estableció que la ley provincial 12.397 en tanto había producido la novación unilateral de determin</w:t>
      </w:r>
      <w:r w:rsidR="00067A5A">
        <w:rPr>
          <w:rFonts w:ascii="Arial" w:hAnsi="Arial" w:cs="Arial"/>
          <w:sz w:val="22"/>
          <w:szCs w:val="22"/>
        </w:rPr>
        <w:t>a</w:t>
      </w:r>
      <w:r w:rsidR="00067A5A">
        <w:rPr>
          <w:rFonts w:ascii="Arial" w:hAnsi="Arial" w:cs="Arial"/>
          <w:sz w:val="22"/>
          <w:szCs w:val="22"/>
        </w:rPr>
        <w:t>das deudas fiscales, era inconstitucional. La Corte provincial y la Corte Nacional no tuvieron oportunidad de tratar la constitucionalidad de la norma</w:t>
      </w:r>
      <w:r w:rsidR="00F31C9F">
        <w:rPr>
          <w:rFonts w:ascii="Arial" w:hAnsi="Arial" w:cs="Arial"/>
          <w:sz w:val="22"/>
          <w:szCs w:val="22"/>
        </w:rPr>
        <w:t xml:space="preserve">. Hacemos constar que tanto en autos </w:t>
      </w:r>
      <w:r w:rsidR="00F31C9F">
        <w:rPr>
          <w:rFonts w:ascii="Arial" w:hAnsi="Arial" w:cs="Arial"/>
          <w:i/>
          <w:sz w:val="22"/>
          <w:szCs w:val="22"/>
        </w:rPr>
        <w:t>Trenes de Buenos Aires c/ Provincia de Buenos Aires s/ acción declar</w:t>
      </w:r>
      <w:r w:rsidR="00F31C9F">
        <w:rPr>
          <w:rFonts w:ascii="Arial" w:hAnsi="Arial" w:cs="Arial"/>
          <w:i/>
          <w:sz w:val="22"/>
          <w:szCs w:val="22"/>
        </w:rPr>
        <w:t>a</w:t>
      </w:r>
      <w:r w:rsidR="00F31C9F">
        <w:rPr>
          <w:rFonts w:ascii="Arial" w:hAnsi="Arial" w:cs="Arial"/>
          <w:i/>
          <w:sz w:val="22"/>
          <w:szCs w:val="22"/>
        </w:rPr>
        <w:t>tiva</w:t>
      </w:r>
      <w:r w:rsidR="00F31C9F">
        <w:rPr>
          <w:rFonts w:ascii="Arial" w:hAnsi="Arial" w:cs="Arial"/>
          <w:sz w:val="22"/>
          <w:szCs w:val="22"/>
        </w:rPr>
        <w:t xml:space="preserve">, del 17/09/2013, de la CSJN y como en autos </w:t>
      </w:r>
      <w:r w:rsidR="00F31C9F">
        <w:rPr>
          <w:rFonts w:ascii="Arial" w:hAnsi="Arial" w:cs="Arial"/>
          <w:i/>
          <w:sz w:val="22"/>
          <w:szCs w:val="22"/>
        </w:rPr>
        <w:t xml:space="preserve">Fisco de la Provincia c/ Manuel Mato y Cía. s/ apremio, </w:t>
      </w:r>
      <w:r w:rsidR="00F31C9F">
        <w:rPr>
          <w:rFonts w:ascii="Arial" w:hAnsi="Arial" w:cs="Arial"/>
          <w:sz w:val="22"/>
          <w:szCs w:val="22"/>
        </w:rPr>
        <w:t>del 16/05/2012 de la SCBA, se propone el debate sobre la constit</w:t>
      </w:r>
      <w:r w:rsidR="00F31C9F">
        <w:rPr>
          <w:rFonts w:ascii="Arial" w:hAnsi="Arial" w:cs="Arial"/>
          <w:sz w:val="22"/>
          <w:szCs w:val="22"/>
        </w:rPr>
        <w:t>u</w:t>
      </w:r>
      <w:r w:rsidR="00F31C9F">
        <w:rPr>
          <w:rFonts w:ascii="Arial" w:hAnsi="Arial" w:cs="Arial"/>
          <w:sz w:val="22"/>
          <w:szCs w:val="22"/>
        </w:rPr>
        <w:t>cionalidad de la norma pero no fue necesaria tratar el punto</w:t>
      </w:r>
      <w:r w:rsidR="00067A5A">
        <w:rPr>
          <w:rFonts w:ascii="Arial" w:hAnsi="Arial" w:cs="Arial"/>
          <w:sz w:val="22"/>
          <w:szCs w:val="22"/>
        </w:rPr>
        <w:t xml:space="preserve">. </w:t>
      </w:r>
    </w:p>
    <w:p w:rsidR="00780C37" w:rsidRDefault="00067A5A" w:rsidP="00345F1D">
      <w:pPr>
        <w:pStyle w:val="Textosinformato"/>
        <w:spacing w:line="360" w:lineRule="auto"/>
        <w:ind w:firstLine="1985"/>
        <w:jc w:val="both"/>
        <w:rPr>
          <w:rFonts w:ascii="Arial" w:hAnsi="Arial" w:cs="Arial"/>
          <w:sz w:val="22"/>
          <w:szCs w:val="22"/>
        </w:rPr>
      </w:pPr>
      <w:r>
        <w:rPr>
          <w:rFonts w:ascii="Arial" w:hAnsi="Arial" w:cs="Arial"/>
          <w:sz w:val="22"/>
          <w:szCs w:val="22"/>
        </w:rPr>
        <w:t>En cualquier caso,</w:t>
      </w:r>
      <w:r w:rsidR="00F31C9F">
        <w:rPr>
          <w:rFonts w:ascii="Arial" w:hAnsi="Arial" w:cs="Arial"/>
          <w:sz w:val="22"/>
          <w:szCs w:val="22"/>
        </w:rPr>
        <w:t xml:space="preserve"> y bajo la vigencia del viejo Código Civil,</w:t>
      </w:r>
      <w:r>
        <w:rPr>
          <w:rFonts w:ascii="Arial" w:hAnsi="Arial" w:cs="Arial"/>
          <w:sz w:val="22"/>
          <w:szCs w:val="22"/>
        </w:rPr>
        <w:t xml:space="preserve"> se consideraba a la novación solo como un nuevo contrato</w:t>
      </w:r>
      <w:r w:rsidR="00F31C9F">
        <w:rPr>
          <w:rFonts w:ascii="Arial" w:hAnsi="Arial" w:cs="Arial"/>
          <w:sz w:val="22"/>
          <w:szCs w:val="22"/>
        </w:rPr>
        <w:t>,</w:t>
      </w:r>
      <w:r>
        <w:rPr>
          <w:rFonts w:ascii="Arial" w:hAnsi="Arial" w:cs="Arial"/>
          <w:sz w:val="22"/>
          <w:szCs w:val="22"/>
        </w:rPr>
        <w:t xml:space="preserve"> por lo que requería la co</w:t>
      </w:r>
      <w:r>
        <w:rPr>
          <w:rFonts w:ascii="Arial" w:hAnsi="Arial" w:cs="Arial"/>
          <w:sz w:val="22"/>
          <w:szCs w:val="22"/>
        </w:rPr>
        <w:t>n</w:t>
      </w:r>
      <w:r>
        <w:rPr>
          <w:rFonts w:ascii="Arial" w:hAnsi="Arial" w:cs="Arial"/>
          <w:sz w:val="22"/>
          <w:szCs w:val="22"/>
        </w:rPr>
        <w:t>formidad de ambas partes.</w:t>
      </w:r>
      <w:r w:rsidR="002B5536">
        <w:rPr>
          <w:rFonts w:ascii="Arial" w:hAnsi="Arial" w:cs="Arial"/>
          <w:sz w:val="22"/>
          <w:szCs w:val="22"/>
        </w:rPr>
        <w:t xml:space="preserve"> </w:t>
      </w:r>
      <w:r w:rsidR="00780C37">
        <w:rPr>
          <w:rFonts w:ascii="Arial" w:hAnsi="Arial" w:cs="Arial"/>
          <w:sz w:val="22"/>
          <w:szCs w:val="22"/>
        </w:rPr>
        <w:t>No se nos escapa que el nuevo Código establece la “nov</w:t>
      </w:r>
      <w:r w:rsidR="00780C37">
        <w:rPr>
          <w:rFonts w:ascii="Arial" w:hAnsi="Arial" w:cs="Arial"/>
          <w:sz w:val="22"/>
          <w:szCs w:val="22"/>
        </w:rPr>
        <w:t>a</w:t>
      </w:r>
      <w:r w:rsidR="00780C37">
        <w:rPr>
          <w:rFonts w:ascii="Arial" w:hAnsi="Arial" w:cs="Arial"/>
          <w:sz w:val="22"/>
          <w:szCs w:val="22"/>
        </w:rPr>
        <w:t>ción l</w:t>
      </w:r>
      <w:r w:rsidR="00780C37">
        <w:rPr>
          <w:rFonts w:ascii="Arial" w:hAnsi="Arial" w:cs="Arial"/>
          <w:sz w:val="22"/>
          <w:szCs w:val="22"/>
        </w:rPr>
        <w:t>e</w:t>
      </w:r>
      <w:r w:rsidR="00780C37">
        <w:rPr>
          <w:rFonts w:ascii="Arial" w:hAnsi="Arial" w:cs="Arial"/>
          <w:sz w:val="22"/>
          <w:szCs w:val="22"/>
        </w:rPr>
        <w:t>gal” en el art. 941. Creemos que se refiere a supuestos específicos del derecho priv</w:t>
      </w:r>
      <w:r w:rsidR="00780C37">
        <w:rPr>
          <w:rFonts w:ascii="Arial" w:hAnsi="Arial" w:cs="Arial"/>
          <w:sz w:val="22"/>
          <w:szCs w:val="22"/>
        </w:rPr>
        <w:t>a</w:t>
      </w:r>
      <w:r w:rsidR="00780C37">
        <w:rPr>
          <w:rFonts w:ascii="Arial" w:hAnsi="Arial" w:cs="Arial"/>
          <w:sz w:val="22"/>
          <w:szCs w:val="22"/>
        </w:rPr>
        <w:t>do tal como la novación de la cuenta corriente mercantil por ejemplo.</w:t>
      </w:r>
    </w:p>
    <w:p w:rsidR="00780C37" w:rsidRDefault="002B5536" w:rsidP="00345F1D">
      <w:pPr>
        <w:pStyle w:val="Textosinformato"/>
        <w:spacing w:line="360" w:lineRule="auto"/>
        <w:ind w:firstLine="1985"/>
        <w:jc w:val="both"/>
        <w:rPr>
          <w:rFonts w:ascii="Arial" w:hAnsi="Arial" w:cs="Arial"/>
          <w:sz w:val="22"/>
          <w:szCs w:val="22"/>
        </w:rPr>
      </w:pPr>
      <w:r>
        <w:rPr>
          <w:rFonts w:ascii="Arial" w:hAnsi="Arial" w:cs="Arial"/>
          <w:sz w:val="22"/>
          <w:szCs w:val="22"/>
        </w:rPr>
        <w:t>C</w:t>
      </w:r>
      <w:r w:rsidR="00780C37">
        <w:rPr>
          <w:rFonts w:ascii="Arial" w:hAnsi="Arial" w:cs="Arial"/>
          <w:sz w:val="22"/>
          <w:szCs w:val="22"/>
        </w:rPr>
        <w:t>reemos que la Corte nacional en tanto último intérprete de la l</w:t>
      </w:r>
      <w:r w:rsidR="00780C37">
        <w:rPr>
          <w:rFonts w:ascii="Arial" w:hAnsi="Arial" w:cs="Arial"/>
          <w:sz w:val="22"/>
          <w:szCs w:val="22"/>
        </w:rPr>
        <w:t>e</w:t>
      </w:r>
      <w:r w:rsidR="00780C37">
        <w:rPr>
          <w:rFonts w:ascii="Arial" w:hAnsi="Arial" w:cs="Arial"/>
          <w:sz w:val="22"/>
          <w:szCs w:val="22"/>
        </w:rPr>
        <w:t>gislación</w:t>
      </w:r>
      <w:r w:rsidR="00F31C9F">
        <w:rPr>
          <w:rFonts w:ascii="Arial" w:hAnsi="Arial" w:cs="Arial"/>
          <w:sz w:val="22"/>
          <w:szCs w:val="22"/>
        </w:rPr>
        <w:t>,</w:t>
      </w:r>
      <w:r w:rsidR="00780C37">
        <w:rPr>
          <w:rFonts w:ascii="Arial" w:hAnsi="Arial" w:cs="Arial"/>
          <w:sz w:val="22"/>
          <w:szCs w:val="22"/>
        </w:rPr>
        <w:t xml:space="preserve"> encontrará dificultades argumentativas para explicitar que las provincias y municipios tienen libertad absoluta para regular la relación fisco-deudor, normando del modo que le plazca los modos de extinción de las obligaciones tributarias.</w:t>
      </w:r>
    </w:p>
    <w:p w:rsidR="00F31C9F" w:rsidRDefault="00F31C9F" w:rsidP="00345F1D">
      <w:pPr>
        <w:pStyle w:val="Textosinformato"/>
        <w:spacing w:line="360" w:lineRule="auto"/>
        <w:ind w:firstLine="1985"/>
        <w:jc w:val="both"/>
        <w:rPr>
          <w:rFonts w:ascii="Arial" w:hAnsi="Arial" w:cs="Arial"/>
          <w:sz w:val="22"/>
          <w:szCs w:val="22"/>
        </w:rPr>
      </w:pPr>
      <w:r>
        <w:rPr>
          <w:rFonts w:ascii="Arial" w:hAnsi="Arial" w:cs="Arial"/>
          <w:sz w:val="22"/>
          <w:szCs w:val="22"/>
        </w:rPr>
        <w:lastRenderedPageBreak/>
        <w:t xml:space="preserve">En otros términos, no creemos que la solución del art. </w:t>
      </w:r>
      <w:r w:rsidR="00B10998">
        <w:rPr>
          <w:rFonts w:ascii="Arial" w:hAnsi="Arial" w:cs="Arial"/>
          <w:sz w:val="22"/>
          <w:szCs w:val="22"/>
        </w:rPr>
        <w:t>2532 del Código Civil y Comercial sea de aplicación análoga a otros modos de extinción de la obligación tributaria.</w:t>
      </w:r>
    </w:p>
    <w:p w:rsidR="00780C37" w:rsidRDefault="00780C37" w:rsidP="00345F1D">
      <w:pPr>
        <w:pStyle w:val="Textosinformato"/>
        <w:spacing w:line="360" w:lineRule="auto"/>
        <w:ind w:firstLine="1985"/>
        <w:jc w:val="both"/>
        <w:rPr>
          <w:rFonts w:ascii="Arial" w:hAnsi="Arial" w:cs="Arial"/>
          <w:sz w:val="22"/>
          <w:szCs w:val="22"/>
        </w:rPr>
      </w:pPr>
    </w:p>
    <w:p w:rsidR="00780C37" w:rsidRDefault="00780C37" w:rsidP="00345F1D">
      <w:pPr>
        <w:pStyle w:val="Textosinformato"/>
        <w:spacing w:line="360" w:lineRule="auto"/>
        <w:ind w:firstLine="1985"/>
        <w:jc w:val="both"/>
        <w:rPr>
          <w:rFonts w:ascii="Arial" w:hAnsi="Arial" w:cs="Arial"/>
          <w:sz w:val="22"/>
          <w:szCs w:val="22"/>
        </w:rPr>
      </w:pPr>
      <w:r>
        <w:rPr>
          <w:rFonts w:ascii="Arial" w:hAnsi="Arial" w:cs="Arial"/>
          <w:sz w:val="22"/>
          <w:szCs w:val="22"/>
        </w:rPr>
        <w:t>3.</w:t>
      </w:r>
    </w:p>
    <w:p w:rsidR="00780C37" w:rsidRDefault="00780C37" w:rsidP="00780C37">
      <w:pPr>
        <w:pStyle w:val="Textosinformato"/>
        <w:spacing w:line="360" w:lineRule="auto"/>
        <w:ind w:firstLine="1985"/>
        <w:jc w:val="both"/>
        <w:rPr>
          <w:rFonts w:ascii="Arial" w:hAnsi="Arial" w:cs="Arial"/>
          <w:sz w:val="22"/>
          <w:szCs w:val="22"/>
        </w:rPr>
      </w:pPr>
      <w:r>
        <w:rPr>
          <w:rFonts w:ascii="Arial" w:hAnsi="Arial" w:cs="Arial"/>
          <w:sz w:val="22"/>
          <w:szCs w:val="22"/>
        </w:rPr>
        <w:t>Más allá de la posición que se siguiera en torno a las potestades tributarias de las provincias y municipios siempre tuvimos la sensación que l</w:t>
      </w:r>
      <w:r w:rsidRPr="009A4F90">
        <w:rPr>
          <w:rFonts w:ascii="Arial" w:hAnsi="Arial" w:cs="Arial"/>
          <w:sz w:val="22"/>
          <w:szCs w:val="22"/>
        </w:rPr>
        <w:t>a jurispr</w:t>
      </w:r>
      <w:r w:rsidRPr="009A4F90">
        <w:rPr>
          <w:rFonts w:ascii="Arial" w:hAnsi="Arial" w:cs="Arial"/>
          <w:sz w:val="22"/>
          <w:szCs w:val="22"/>
        </w:rPr>
        <w:t>u</w:t>
      </w:r>
      <w:r w:rsidRPr="009A4F90">
        <w:rPr>
          <w:rFonts w:ascii="Arial" w:hAnsi="Arial" w:cs="Arial"/>
          <w:sz w:val="22"/>
          <w:szCs w:val="22"/>
        </w:rPr>
        <w:t xml:space="preserve">dencia </w:t>
      </w:r>
      <w:r>
        <w:rPr>
          <w:rFonts w:ascii="Arial" w:hAnsi="Arial" w:cs="Arial"/>
          <w:sz w:val="22"/>
          <w:szCs w:val="22"/>
        </w:rPr>
        <w:t>de la casación nacional</w:t>
      </w:r>
      <w:r w:rsidRPr="009A4F90">
        <w:rPr>
          <w:rFonts w:ascii="Arial" w:hAnsi="Arial" w:cs="Arial"/>
          <w:sz w:val="22"/>
          <w:szCs w:val="22"/>
        </w:rPr>
        <w:t xml:space="preserve"> no hac</w:t>
      </w:r>
      <w:r>
        <w:rPr>
          <w:rFonts w:ascii="Arial" w:hAnsi="Arial" w:cs="Arial"/>
          <w:sz w:val="22"/>
          <w:szCs w:val="22"/>
        </w:rPr>
        <w:t>ía</w:t>
      </w:r>
      <w:r w:rsidRPr="009A4F90">
        <w:rPr>
          <w:rFonts w:ascii="Arial" w:hAnsi="Arial" w:cs="Arial"/>
          <w:sz w:val="22"/>
          <w:szCs w:val="22"/>
        </w:rPr>
        <w:t xml:space="preserve"> más que seguir la lógica de nuestros antec</w:t>
      </w:r>
      <w:r w:rsidRPr="009A4F90">
        <w:rPr>
          <w:rFonts w:ascii="Arial" w:hAnsi="Arial" w:cs="Arial"/>
          <w:sz w:val="22"/>
          <w:szCs w:val="22"/>
        </w:rPr>
        <w:t>e</w:t>
      </w:r>
      <w:r w:rsidRPr="009A4F90">
        <w:rPr>
          <w:rFonts w:ascii="Arial" w:hAnsi="Arial" w:cs="Arial"/>
          <w:sz w:val="22"/>
          <w:szCs w:val="22"/>
        </w:rPr>
        <w:t xml:space="preserve">dentes constitucionales. Estos revelan un curioso apartamiento de los precedentes norteamericanos del mismo orden, que en otros puntos se siguieron </w:t>
      </w:r>
      <w:r w:rsidRPr="009A4F90">
        <w:rPr>
          <w:rFonts w:ascii="Arial" w:hAnsi="Arial" w:cs="Arial"/>
          <w:i/>
          <w:sz w:val="22"/>
          <w:szCs w:val="22"/>
        </w:rPr>
        <w:t xml:space="preserve">literis. </w:t>
      </w:r>
      <w:r w:rsidRPr="009A4F90">
        <w:rPr>
          <w:rFonts w:ascii="Arial" w:hAnsi="Arial" w:cs="Arial"/>
          <w:sz w:val="22"/>
          <w:szCs w:val="22"/>
        </w:rPr>
        <w:t>Dicho apa</w:t>
      </w:r>
      <w:r w:rsidRPr="009A4F90">
        <w:rPr>
          <w:rFonts w:ascii="Arial" w:hAnsi="Arial" w:cs="Arial"/>
          <w:sz w:val="22"/>
          <w:szCs w:val="22"/>
        </w:rPr>
        <w:t>r</w:t>
      </w:r>
      <w:r w:rsidRPr="009A4F90">
        <w:rPr>
          <w:rFonts w:ascii="Arial" w:hAnsi="Arial" w:cs="Arial"/>
          <w:sz w:val="22"/>
          <w:szCs w:val="22"/>
        </w:rPr>
        <w:t>tamiento se vincula, justamente con el dictado de la normativa de derecho común d</w:t>
      </w:r>
      <w:r w:rsidRPr="009A4F90">
        <w:rPr>
          <w:rFonts w:ascii="Arial" w:hAnsi="Arial" w:cs="Arial"/>
          <w:sz w:val="22"/>
          <w:szCs w:val="22"/>
        </w:rPr>
        <w:t>e</w:t>
      </w:r>
      <w:r w:rsidRPr="009A4F90">
        <w:rPr>
          <w:rFonts w:ascii="Arial" w:hAnsi="Arial" w:cs="Arial"/>
          <w:sz w:val="22"/>
          <w:szCs w:val="22"/>
        </w:rPr>
        <w:t>legada en la Nación</w:t>
      </w:r>
      <w:r w:rsidR="00B10237">
        <w:rPr>
          <w:rFonts w:ascii="Arial" w:hAnsi="Arial" w:cs="Arial"/>
          <w:sz w:val="22"/>
          <w:szCs w:val="22"/>
        </w:rPr>
        <w:t xml:space="preserve"> (art. 75 inc. 12 C.N.)</w:t>
      </w:r>
      <w:r w:rsidRPr="009A4F90">
        <w:rPr>
          <w:rFonts w:ascii="Arial" w:hAnsi="Arial" w:cs="Arial"/>
          <w:sz w:val="22"/>
          <w:szCs w:val="22"/>
        </w:rPr>
        <w:t xml:space="preserve">. </w:t>
      </w:r>
      <w:r w:rsidR="00B10998">
        <w:rPr>
          <w:rFonts w:ascii="Arial" w:hAnsi="Arial" w:cs="Arial"/>
          <w:sz w:val="22"/>
          <w:szCs w:val="22"/>
        </w:rPr>
        <w:t>Se creyó</w:t>
      </w:r>
      <w:r w:rsidRPr="009A4F90">
        <w:rPr>
          <w:rFonts w:ascii="Arial" w:hAnsi="Arial" w:cs="Arial"/>
          <w:sz w:val="22"/>
          <w:szCs w:val="22"/>
        </w:rPr>
        <w:t xml:space="preserve"> resultaría caótica la legislación si sobre determinadas cuestiones se permitiera a cada provincia su propia normativa. </w:t>
      </w:r>
      <w:r>
        <w:rPr>
          <w:rFonts w:ascii="Arial" w:hAnsi="Arial" w:cs="Arial"/>
          <w:sz w:val="22"/>
          <w:szCs w:val="22"/>
        </w:rPr>
        <w:t>Por otro lado</w:t>
      </w:r>
      <w:r w:rsidRPr="009A4F90">
        <w:rPr>
          <w:rFonts w:ascii="Arial" w:hAnsi="Arial" w:cs="Arial"/>
          <w:sz w:val="22"/>
          <w:szCs w:val="22"/>
        </w:rPr>
        <w:t>, el distinto rango normativo que marca la propia Constitución Nacional es suficientemente claro. El principio de supremacía constitucional es consustancial a la idea de Nación. La norma de marras refleja una pequeña pirámide jurídica. Es evide</w:t>
      </w:r>
      <w:r w:rsidRPr="009A4F90">
        <w:rPr>
          <w:rFonts w:ascii="Arial" w:hAnsi="Arial" w:cs="Arial"/>
          <w:sz w:val="22"/>
          <w:szCs w:val="22"/>
        </w:rPr>
        <w:t>n</w:t>
      </w:r>
      <w:r w:rsidRPr="009A4F90">
        <w:rPr>
          <w:rFonts w:ascii="Arial" w:hAnsi="Arial" w:cs="Arial"/>
          <w:sz w:val="22"/>
          <w:szCs w:val="22"/>
        </w:rPr>
        <w:t xml:space="preserve">te que la legislación provincial en cuanto pretenda normar aspectos ya tipificados por la legislación común (y de competencia de ésta) deviene inconstitucional por violación al art. 31 de la C.N. </w:t>
      </w:r>
    </w:p>
    <w:p w:rsidR="00B10237" w:rsidRDefault="00B10237" w:rsidP="00780C37">
      <w:pPr>
        <w:pStyle w:val="Textosinformato"/>
        <w:spacing w:line="360" w:lineRule="auto"/>
        <w:ind w:firstLine="1985"/>
        <w:jc w:val="both"/>
        <w:rPr>
          <w:rFonts w:ascii="Arial" w:hAnsi="Arial" w:cs="Arial"/>
          <w:sz w:val="22"/>
          <w:szCs w:val="22"/>
        </w:rPr>
      </w:pPr>
      <w:r>
        <w:rPr>
          <w:rFonts w:ascii="Arial" w:hAnsi="Arial" w:cs="Arial"/>
          <w:sz w:val="22"/>
          <w:szCs w:val="22"/>
        </w:rPr>
        <w:t>Otro apartamiento a los antecedentes norteamericanos es la i</w:t>
      </w:r>
      <w:r>
        <w:rPr>
          <w:rFonts w:ascii="Arial" w:hAnsi="Arial" w:cs="Arial"/>
          <w:sz w:val="22"/>
          <w:szCs w:val="22"/>
        </w:rPr>
        <w:t>n</w:t>
      </w:r>
      <w:r>
        <w:rPr>
          <w:rFonts w:ascii="Arial" w:hAnsi="Arial" w:cs="Arial"/>
          <w:sz w:val="22"/>
          <w:szCs w:val="22"/>
        </w:rPr>
        <w:t xml:space="preserve">serción de la denominada “cláusula de la prosperidad” (art. 75 inc. 18 C.N.). </w:t>
      </w:r>
    </w:p>
    <w:p w:rsidR="00B10237" w:rsidRDefault="00B10237" w:rsidP="00780C37">
      <w:pPr>
        <w:pStyle w:val="Textosinformato"/>
        <w:spacing w:line="360" w:lineRule="auto"/>
        <w:ind w:firstLine="1985"/>
        <w:jc w:val="both"/>
        <w:rPr>
          <w:rFonts w:ascii="Arial" w:hAnsi="Arial" w:cs="Arial"/>
          <w:sz w:val="22"/>
          <w:szCs w:val="22"/>
        </w:rPr>
      </w:pPr>
      <w:r>
        <w:rPr>
          <w:rFonts w:ascii="Arial" w:hAnsi="Arial" w:cs="Arial"/>
          <w:sz w:val="22"/>
          <w:szCs w:val="22"/>
        </w:rPr>
        <w:t>Creemos que en uno y otro caso, el constituyente concretó la idea de un federalismo acorde a nuestra realidad cultural y en esencia, menos fuerte que el norteamericano. De allí que tanto la cláusula de la prosperidad como la de los códigos propiciaban la idea de alguna normativa común, aplicable en todo el país, para evitar el caos normativo y generar confianza en el país.</w:t>
      </w:r>
    </w:p>
    <w:p w:rsidR="00B10237" w:rsidRDefault="00B10237" w:rsidP="00780C37">
      <w:pPr>
        <w:pStyle w:val="Textosinformato"/>
        <w:spacing w:line="360" w:lineRule="auto"/>
        <w:ind w:firstLine="1985"/>
        <w:jc w:val="both"/>
        <w:rPr>
          <w:rFonts w:ascii="Arial" w:hAnsi="Arial" w:cs="Arial"/>
          <w:sz w:val="22"/>
          <w:szCs w:val="22"/>
        </w:rPr>
      </w:pPr>
      <w:r>
        <w:rPr>
          <w:rFonts w:ascii="Arial" w:hAnsi="Arial" w:cs="Arial"/>
          <w:sz w:val="22"/>
          <w:szCs w:val="22"/>
        </w:rPr>
        <w:t>La jurisprudencia de la casación nacional en torno a la prescri</w:t>
      </w:r>
      <w:r>
        <w:rPr>
          <w:rFonts w:ascii="Arial" w:hAnsi="Arial" w:cs="Arial"/>
          <w:sz w:val="22"/>
          <w:szCs w:val="22"/>
        </w:rPr>
        <w:t>p</w:t>
      </w:r>
      <w:r>
        <w:rPr>
          <w:rFonts w:ascii="Arial" w:hAnsi="Arial" w:cs="Arial"/>
          <w:sz w:val="22"/>
          <w:szCs w:val="22"/>
        </w:rPr>
        <w:t>ción en particular y a la relación acreedor/deudor en general siempre nos pareció más de índole práctica que estrictamente fundada en derecho.</w:t>
      </w:r>
    </w:p>
    <w:p w:rsidR="00436F08" w:rsidRDefault="00B10237" w:rsidP="00436F08">
      <w:pPr>
        <w:pStyle w:val="Textosinformato"/>
        <w:spacing w:line="360" w:lineRule="auto"/>
        <w:ind w:firstLine="1985"/>
        <w:jc w:val="both"/>
        <w:rPr>
          <w:rFonts w:ascii="Arial" w:hAnsi="Arial" w:cs="Arial"/>
          <w:sz w:val="22"/>
          <w:szCs w:val="22"/>
        </w:rPr>
      </w:pPr>
      <w:r>
        <w:rPr>
          <w:rFonts w:ascii="Arial" w:hAnsi="Arial" w:cs="Arial"/>
          <w:sz w:val="22"/>
          <w:szCs w:val="22"/>
        </w:rPr>
        <w:t>No creemos que la delegación en la Nación del dictado de los c</w:t>
      </w:r>
      <w:r>
        <w:rPr>
          <w:rFonts w:ascii="Arial" w:hAnsi="Arial" w:cs="Arial"/>
          <w:sz w:val="22"/>
          <w:szCs w:val="22"/>
        </w:rPr>
        <w:t>ó</w:t>
      </w:r>
      <w:r>
        <w:rPr>
          <w:rFonts w:ascii="Arial" w:hAnsi="Arial" w:cs="Arial"/>
          <w:sz w:val="22"/>
          <w:szCs w:val="22"/>
        </w:rPr>
        <w:t>digos de derecho común implique que el Congreso Nacional pueda determinar el co</w:t>
      </w:r>
      <w:r>
        <w:rPr>
          <w:rFonts w:ascii="Arial" w:hAnsi="Arial" w:cs="Arial"/>
          <w:sz w:val="22"/>
          <w:szCs w:val="22"/>
        </w:rPr>
        <w:t>n</w:t>
      </w:r>
      <w:r>
        <w:rPr>
          <w:rFonts w:ascii="Arial" w:hAnsi="Arial" w:cs="Arial"/>
          <w:sz w:val="22"/>
          <w:szCs w:val="22"/>
        </w:rPr>
        <w:t>tenido</w:t>
      </w:r>
      <w:r w:rsidR="00436F08">
        <w:rPr>
          <w:rFonts w:ascii="Arial" w:hAnsi="Arial" w:cs="Arial"/>
          <w:sz w:val="22"/>
          <w:szCs w:val="22"/>
        </w:rPr>
        <w:t xml:space="preserve"> por afuera de lo que históricamente se entendió como derecho civil</w:t>
      </w:r>
      <w:r>
        <w:rPr>
          <w:rFonts w:ascii="Arial" w:hAnsi="Arial" w:cs="Arial"/>
          <w:sz w:val="22"/>
          <w:szCs w:val="22"/>
        </w:rPr>
        <w:t>. En nuestro modo de ver, solo cabía para cada Código lo que necesariamente era su contenido. Es evidente que el contenido del Código Civil podía comprender</w:t>
      </w:r>
      <w:r w:rsidR="00FA6552">
        <w:rPr>
          <w:rFonts w:ascii="Arial" w:hAnsi="Arial" w:cs="Arial"/>
          <w:sz w:val="22"/>
          <w:szCs w:val="22"/>
        </w:rPr>
        <w:t>, entre otros temas,</w:t>
      </w:r>
      <w:r>
        <w:rPr>
          <w:rFonts w:ascii="Arial" w:hAnsi="Arial" w:cs="Arial"/>
          <w:sz w:val="22"/>
          <w:szCs w:val="22"/>
        </w:rPr>
        <w:t xml:space="preserve"> los atr</w:t>
      </w:r>
      <w:r>
        <w:rPr>
          <w:rFonts w:ascii="Arial" w:hAnsi="Arial" w:cs="Arial"/>
          <w:sz w:val="22"/>
          <w:szCs w:val="22"/>
        </w:rPr>
        <w:t>i</w:t>
      </w:r>
      <w:r>
        <w:rPr>
          <w:rFonts w:ascii="Arial" w:hAnsi="Arial" w:cs="Arial"/>
          <w:sz w:val="22"/>
          <w:szCs w:val="22"/>
        </w:rPr>
        <w:t>butos de la personalidad, los derechos reales y personales y todo lo atinente a la obl</w:t>
      </w:r>
      <w:r>
        <w:rPr>
          <w:rFonts w:ascii="Arial" w:hAnsi="Arial" w:cs="Arial"/>
          <w:sz w:val="22"/>
          <w:szCs w:val="22"/>
        </w:rPr>
        <w:t>i</w:t>
      </w:r>
      <w:r>
        <w:rPr>
          <w:rFonts w:ascii="Arial" w:hAnsi="Arial" w:cs="Arial"/>
          <w:sz w:val="22"/>
          <w:szCs w:val="22"/>
        </w:rPr>
        <w:t>gaci</w:t>
      </w:r>
      <w:r w:rsidR="00585621">
        <w:rPr>
          <w:rFonts w:ascii="Arial" w:hAnsi="Arial" w:cs="Arial"/>
          <w:sz w:val="22"/>
          <w:szCs w:val="22"/>
        </w:rPr>
        <w:t>ón</w:t>
      </w:r>
      <w:r>
        <w:rPr>
          <w:rFonts w:ascii="Arial" w:hAnsi="Arial" w:cs="Arial"/>
          <w:sz w:val="22"/>
          <w:szCs w:val="22"/>
        </w:rPr>
        <w:t xml:space="preserve"> civil. Va de suyo que los modos de extinción de esta última serían regulados en ese código en tanto y en cuanto se trate expresamente de un modo de </w:t>
      </w:r>
      <w:r w:rsidR="00585621">
        <w:rPr>
          <w:rFonts w:ascii="Arial" w:hAnsi="Arial" w:cs="Arial"/>
          <w:sz w:val="22"/>
          <w:szCs w:val="22"/>
        </w:rPr>
        <w:t>extinción</w:t>
      </w:r>
      <w:r>
        <w:rPr>
          <w:rFonts w:ascii="Arial" w:hAnsi="Arial" w:cs="Arial"/>
          <w:sz w:val="22"/>
          <w:szCs w:val="22"/>
        </w:rPr>
        <w:t xml:space="preserve"> </w:t>
      </w:r>
      <w:r w:rsidR="00436F08">
        <w:rPr>
          <w:rFonts w:ascii="Arial" w:hAnsi="Arial" w:cs="Arial"/>
          <w:sz w:val="22"/>
          <w:szCs w:val="22"/>
        </w:rPr>
        <w:t xml:space="preserve">de </w:t>
      </w:r>
      <w:r w:rsidR="00436F08">
        <w:rPr>
          <w:rFonts w:ascii="Arial" w:hAnsi="Arial" w:cs="Arial"/>
          <w:sz w:val="22"/>
          <w:szCs w:val="22"/>
        </w:rPr>
        <w:lastRenderedPageBreak/>
        <w:t>una oblig</w:t>
      </w:r>
      <w:r w:rsidR="00436F08">
        <w:rPr>
          <w:rFonts w:ascii="Arial" w:hAnsi="Arial" w:cs="Arial"/>
          <w:sz w:val="22"/>
          <w:szCs w:val="22"/>
        </w:rPr>
        <w:t>a</w:t>
      </w:r>
      <w:r w:rsidR="00436F08">
        <w:rPr>
          <w:rFonts w:ascii="Arial" w:hAnsi="Arial" w:cs="Arial"/>
          <w:sz w:val="22"/>
          <w:szCs w:val="22"/>
        </w:rPr>
        <w:t>ción que tenga naturaleza civil. Siempre nos pareció que la aplicación que la Corte nacional hacía del art. 4027 inc. 3ro. del Código Civil no correspondía a una obligación ex lege como la tributaria. Empero siempre pensamos que esa jurisprude</w:t>
      </w:r>
      <w:r w:rsidR="00436F08">
        <w:rPr>
          <w:rFonts w:ascii="Arial" w:hAnsi="Arial" w:cs="Arial"/>
          <w:sz w:val="22"/>
          <w:szCs w:val="22"/>
        </w:rPr>
        <w:t>n</w:t>
      </w:r>
      <w:r w:rsidR="00436F08">
        <w:rPr>
          <w:rFonts w:ascii="Arial" w:hAnsi="Arial" w:cs="Arial"/>
          <w:sz w:val="22"/>
          <w:szCs w:val="22"/>
        </w:rPr>
        <w:t>cia solo pr</w:t>
      </w:r>
      <w:r w:rsidR="00436F08">
        <w:rPr>
          <w:rFonts w:ascii="Arial" w:hAnsi="Arial" w:cs="Arial"/>
          <w:sz w:val="22"/>
          <w:szCs w:val="22"/>
        </w:rPr>
        <w:t>e</w:t>
      </w:r>
      <w:r w:rsidR="00436F08">
        <w:rPr>
          <w:rFonts w:ascii="Arial" w:hAnsi="Arial" w:cs="Arial"/>
          <w:sz w:val="22"/>
          <w:szCs w:val="22"/>
        </w:rPr>
        <w:t>tendía unificar los plazos prescriptivos, aún con riesgo de emitir fallos de evidente co</w:t>
      </w:r>
      <w:r w:rsidR="00436F08">
        <w:rPr>
          <w:rFonts w:ascii="Arial" w:hAnsi="Arial" w:cs="Arial"/>
          <w:sz w:val="22"/>
          <w:szCs w:val="22"/>
        </w:rPr>
        <w:t>n</w:t>
      </w:r>
      <w:r w:rsidR="00436F08">
        <w:rPr>
          <w:rFonts w:ascii="Arial" w:hAnsi="Arial" w:cs="Arial"/>
          <w:sz w:val="22"/>
          <w:szCs w:val="22"/>
        </w:rPr>
        <w:t>tenido legislativo. Esa jurisprudencia trasuntaba la voluntad de realizar un feder</w:t>
      </w:r>
      <w:r w:rsidR="00436F08">
        <w:rPr>
          <w:rFonts w:ascii="Arial" w:hAnsi="Arial" w:cs="Arial"/>
          <w:sz w:val="22"/>
          <w:szCs w:val="22"/>
        </w:rPr>
        <w:t>a</w:t>
      </w:r>
      <w:r w:rsidR="00436F08">
        <w:rPr>
          <w:rFonts w:ascii="Arial" w:hAnsi="Arial" w:cs="Arial"/>
          <w:sz w:val="22"/>
          <w:szCs w:val="22"/>
        </w:rPr>
        <w:t>lismo posible. De allí que por lo general se establecía que era competencia del legisl</w:t>
      </w:r>
      <w:r w:rsidR="00436F08">
        <w:rPr>
          <w:rFonts w:ascii="Arial" w:hAnsi="Arial" w:cs="Arial"/>
          <w:sz w:val="22"/>
          <w:szCs w:val="22"/>
        </w:rPr>
        <w:t>a</w:t>
      </w:r>
      <w:r w:rsidR="00436F08">
        <w:rPr>
          <w:rFonts w:ascii="Arial" w:hAnsi="Arial" w:cs="Arial"/>
          <w:sz w:val="22"/>
          <w:szCs w:val="22"/>
        </w:rPr>
        <w:t>dor nacional fijar el plazo de prescripción o determinar en qué condiciones se puede co</w:t>
      </w:r>
      <w:r w:rsidR="00436F08">
        <w:rPr>
          <w:rFonts w:ascii="Arial" w:hAnsi="Arial" w:cs="Arial"/>
          <w:sz w:val="22"/>
          <w:szCs w:val="22"/>
        </w:rPr>
        <w:t>n</w:t>
      </w:r>
      <w:r w:rsidR="00436F08">
        <w:rPr>
          <w:rFonts w:ascii="Arial" w:hAnsi="Arial" w:cs="Arial"/>
          <w:sz w:val="22"/>
          <w:szCs w:val="22"/>
        </w:rPr>
        <w:t>solidar una deuda.</w:t>
      </w:r>
    </w:p>
    <w:p w:rsidR="00436F08" w:rsidRDefault="00436F08" w:rsidP="00436F08">
      <w:pPr>
        <w:pStyle w:val="Textosinformato"/>
        <w:spacing w:line="360" w:lineRule="auto"/>
        <w:ind w:firstLine="1985"/>
        <w:jc w:val="both"/>
        <w:rPr>
          <w:rFonts w:ascii="Arial" w:hAnsi="Arial" w:cs="Arial"/>
          <w:sz w:val="22"/>
          <w:szCs w:val="22"/>
        </w:rPr>
      </w:pPr>
      <w:r>
        <w:rPr>
          <w:rFonts w:ascii="Arial" w:hAnsi="Arial" w:cs="Arial"/>
          <w:sz w:val="22"/>
          <w:szCs w:val="22"/>
        </w:rPr>
        <w:t>En suma, siempre creímos que la jurisprudencia de la casación nacional daba certeza y por ende, seguridad jurídica, aún cuando sus fundamentos no fueran convincentes.</w:t>
      </w:r>
    </w:p>
    <w:p w:rsidR="00436F08" w:rsidRDefault="00436F08" w:rsidP="00436F08">
      <w:pPr>
        <w:pStyle w:val="Textosinformato"/>
        <w:spacing w:line="360" w:lineRule="auto"/>
        <w:ind w:firstLine="1985"/>
        <w:jc w:val="both"/>
        <w:rPr>
          <w:rFonts w:ascii="Arial" w:hAnsi="Arial" w:cs="Arial"/>
          <w:sz w:val="22"/>
          <w:szCs w:val="22"/>
        </w:rPr>
      </w:pPr>
    </w:p>
    <w:p w:rsidR="00436F08" w:rsidRDefault="00436F08" w:rsidP="00436F08">
      <w:pPr>
        <w:pStyle w:val="Textosinformato"/>
        <w:spacing w:line="360" w:lineRule="auto"/>
        <w:ind w:firstLine="1985"/>
        <w:jc w:val="both"/>
        <w:rPr>
          <w:rFonts w:ascii="Arial" w:hAnsi="Arial" w:cs="Arial"/>
          <w:sz w:val="22"/>
          <w:szCs w:val="22"/>
        </w:rPr>
      </w:pPr>
      <w:r>
        <w:rPr>
          <w:rFonts w:ascii="Arial" w:hAnsi="Arial" w:cs="Arial"/>
          <w:sz w:val="22"/>
          <w:szCs w:val="22"/>
        </w:rPr>
        <w:t>4.</w:t>
      </w:r>
    </w:p>
    <w:p w:rsidR="00436F08" w:rsidRDefault="00436F08" w:rsidP="00436F08">
      <w:pPr>
        <w:pStyle w:val="Textosinformato"/>
        <w:spacing w:line="360" w:lineRule="auto"/>
        <w:ind w:firstLine="1985"/>
        <w:jc w:val="both"/>
        <w:rPr>
          <w:rFonts w:ascii="Arial" w:hAnsi="Arial" w:cs="Arial"/>
          <w:sz w:val="22"/>
          <w:szCs w:val="22"/>
        </w:rPr>
      </w:pPr>
      <w:r>
        <w:rPr>
          <w:rFonts w:ascii="Arial" w:hAnsi="Arial" w:cs="Arial"/>
          <w:sz w:val="22"/>
          <w:szCs w:val="22"/>
        </w:rPr>
        <w:t>En primer lugar, creemos que la jurisprudencia aplicará el art. 2532 del Código en el sentido que el mismo señala, posibilitando a los fiscos locales la regulación del instituto</w:t>
      </w:r>
      <w:r w:rsidR="00B10998">
        <w:rPr>
          <w:rFonts w:ascii="Arial" w:hAnsi="Arial" w:cs="Arial"/>
          <w:sz w:val="22"/>
          <w:szCs w:val="22"/>
        </w:rPr>
        <w:t>, sin otro límite que la razonabilidad</w:t>
      </w:r>
      <w:r>
        <w:rPr>
          <w:rFonts w:ascii="Arial" w:hAnsi="Arial" w:cs="Arial"/>
          <w:sz w:val="22"/>
          <w:szCs w:val="22"/>
        </w:rPr>
        <w:t xml:space="preserve">. </w:t>
      </w:r>
    </w:p>
    <w:p w:rsidR="00436F08" w:rsidRDefault="00436F08" w:rsidP="00436F08">
      <w:pPr>
        <w:pStyle w:val="Textosinformato"/>
        <w:spacing w:line="360" w:lineRule="auto"/>
        <w:ind w:firstLine="1985"/>
        <w:jc w:val="both"/>
        <w:rPr>
          <w:rFonts w:ascii="Arial" w:hAnsi="Arial" w:cs="Arial"/>
          <w:sz w:val="22"/>
          <w:szCs w:val="22"/>
        </w:rPr>
      </w:pPr>
      <w:r>
        <w:rPr>
          <w:rFonts w:ascii="Arial" w:hAnsi="Arial" w:cs="Arial"/>
          <w:sz w:val="22"/>
          <w:szCs w:val="22"/>
        </w:rPr>
        <w:t xml:space="preserve">En segundo término, esperamos prudencia en las </w:t>
      </w:r>
      <w:r w:rsidR="00605B65">
        <w:rPr>
          <w:rFonts w:ascii="Arial" w:hAnsi="Arial" w:cs="Arial"/>
          <w:sz w:val="22"/>
          <w:szCs w:val="22"/>
        </w:rPr>
        <w:t>legislaturas</w:t>
      </w:r>
      <w:r>
        <w:rPr>
          <w:rFonts w:ascii="Arial" w:hAnsi="Arial" w:cs="Arial"/>
          <w:sz w:val="22"/>
          <w:szCs w:val="22"/>
        </w:rPr>
        <w:t xml:space="preserve"> l</w:t>
      </w:r>
      <w:r>
        <w:rPr>
          <w:rFonts w:ascii="Arial" w:hAnsi="Arial" w:cs="Arial"/>
          <w:sz w:val="22"/>
          <w:szCs w:val="22"/>
        </w:rPr>
        <w:t>o</w:t>
      </w:r>
      <w:r>
        <w:rPr>
          <w:rFonts w:ascii="Arial" w:hAnsi="Arial" w:cs="Arial"/>
          <w:sz w:val="22"/>
          <w:szCs w:val="22"/>
        </w:rPr>
        <w:t xml:space="preserve">cales. Debemos recordar que los fallos de la Corte al aplicar el Código Civil estaban </w:t>
      </w:r>
      <w:r w:rsidR="00585621">
        <w:rPr>
          <w:rFonts w:ascii="Arial" w:hAnsi="Arial" w:cs="Arial"/>
          <w:sz w:val="22"/>
          <w:szCs w:val="22"/>
        </w:rPr>
        <w:t xml:space="preserve">determinando -expresa o implícitamente- </w:t>
      </w:r>
      <w:r>
        <w:rPr>
          <w:rFonts w:ascii="Arial" w:hAnsi="Arial" w:cs="Arial"/>
          <w:sz w:val="22"/>
          <w:szCs w:val="22"/>
        </w:rPr>
        <w:t>que esa legislación local era irrazonable. Es de esp</w:t>
      </w:r>
      <w:r>
        <w:rPr>
          <w:rFonts w:ascii="Arial" w:hAnsi="Arial" w:cs="Arial"/>
          <w:sz w:val="22"/>
          <w:szCs w:val="22"/>
        </w:rPr>
        <w:t>e</w:t>
      </w:r>
      <w:r>
        <w:rPr>
          <w:rFonts w:ascii="Arial" w:hAnsi="Arial" w:cs="Arial"/>
          <w:sz w:val="22"/>
          <w:szCs w:val="22"/>
        </w:rPr>
        <w:t>rar entonces una regulación razonable del instituto, plazos parecidos a los de la legi</w:t>
      </w:r>
      <w:r>
        <w:rPr>
          <w:rFonts w:ascii="Arial" w:hAnsi="Arial" w:cs="Arial"/>
          <w:sz w:val="22"/>
          <w:szCs w:val="22"/>
        </w:rPr>
        <w:t>s</w:t>
      </w:r>
      <w:r>
        <w:rPr>
          <w:rFonts w:ascii="Arial" w:hAnsi="Arial" w:cs="Arial"/>
          <w:sz w:val="22"/>
          <w:szCs w:val="22"/>
        </w:rPr>
        <w:t xml:space="preserve">lación nacional y causales de interrupción y suspensión criteriosas y </w:t>
      </w:r>
      <w:r w:rsidR="00605B65">
        <w:rPr>
          <w:rFonts w:ascii="Arial" w:hAnsi="Arial" w:cs="Arial"/>
          <w:sz w:val="22"/>
          <w:szCs w:val="22"/>
        </w:rPr>
        <w:t>adecuadas</w:t>
      </w:r>
      <w:r>
        <w:rPr>
          <w:rFonts w:ascii="Arial" w:hAnsi="Arial" w:cs="Arial"/>
          <w:sz w:val="22"/>
          <w:szCs w:val="22"/>
        </w:rPr>
        <w:t xml:space="preserve"> al procedimiento tr</w:t>
      </w:r>
      <w:r>
        <w:rPr>
          <w:rFonts w:ascii="Arial" w:hAnsi="Arial" w:cs="Arial"/>
          <w:sz w:val="22"/>
          <w:szCs w:val="22"/>
        </w:rPr>
        <w:t>i</w:t>
      </w:r>
      <w:r>
        <w:rPr>
          <w:rFonts w:ascii="Arial" w:hAnsi="Arial" w:cs="Arial"/>
          <w:sz w:val="22"/>
          <w:szCs w:val="22"/>
        </w:rPr>
        <w:t>butario.</w:t>
      </w:r>
    </w:p>
    <w:p w:rsidR="00436F08" w:rsidRDefault="00436F08" w:rsidP="00436F08">
      <w:pPr>
        <w:pStyle w:val="Textosinformato"/>
        <w:spacing w:line="360" w:lineRule="auto"/>
        <w:ind w:firstLine="1985"/>
        <w:jc w:val="both"/>
        <w:rPr>
          <w:rFonts w:ascii="Arial" w:hAnsi="Arial" w:cs="Arial"/>
          <w:sz w:val="22"/>
          <w:szCs w:val="22"/>
        </w:rPr>
      </w:pPr>
      <w:r>
        <w:rPr>
          <w:rFonts w:ascii="Arial" w:hAnsi="Arial" w:cs="Arial"/>
          <w:sz w:val="22"/>
          <w:szCs w:val="22"/>
        </w:rPr>
        <w:t>En tercer lugar, será un desafío para la jurisprudencia, y esp</w:t>
      </w:r>
      <w:r>
        <w:rPr>
          <w:rFonts w:ascii="Arial" w:hAnsi="Arial" w:cs="Arial"/>
          <w:sz w:val="22"/>
          <w:szCs w:val="22"/>
        </w:rPr>
        <w:t>e</w:t>
      </w:r>
      <w:r>
        <w:rPr>
          <w:rFonts w:ascii="Arial" w:hAnsi="Arial" w:cs="Arial"/>
          <w:sz w:val="22"/>
          <w:szCs w:val="22"/>
        </w:rPr>
        <w:t>cialmente para la de nuestro máximo tribunal</w:t>
      </w:r>
      <w:r w:rsidR="00243DD4">
        <w:rPr>
          <w:rFonts w:ascii="Arial" w:hAnsi="Arial" w:cs="Arial"/>
          <w:sz w:val="22"/>
          <w:szCs w:val="22"/>
        </w:rPr>
        <w:t xml:space="preserve">, establecer si abandona la idea de que </w:t>
      </w:r>
      <w:r w:rsidR="00243DD4">
        <w:rPr>
          <w:rFonts w:ascii="Arial" w:hAnsi="Arial" w:cs="Arial"/>
          <w:i/>
          <w:sz w:val="22"/>
          <w:szCs w:val="22"/>
        </w:rPr>
        <w:t>“las relaciones entre acreedor y deudor son de exclusiva legislación del Congreso N</w:t>
      </w:r>
      <w:r w:rsidR="00243DD4">
        <w:rPr>
          <w:rFonts w:ascii="Arial" w:hAnsi="Arial" w:cs="Arial"/>
          <w:i/>
          <w:sz w:val="22"/>
          <w:szCs w:val="22"/>
        </w:rPr>
        <w:t>a</w:t>
      </w:r>
      <w:r w:rsidR="00243DD4">
        <w:rPr>
          <w:rFonts w:ascii="Arial" w:hAnsi="Arial" w:cs="Arial"/>
          <w:i/>
          <w:sz w:val="22"/>
          <w:szCs w:val="22"/>
        </w:rPr>
        <w:t xml:space="preserve">cional” </w:t>
      </w:r>
      <w:r w:rsidR="00243DD4">
        <w:rPr>
          <w:rFonts w:ascii="Arial" w:hAnsi="Arial" w:cs="Arial"/>
          <w:sz w:val="22"/>
          <w:szCs w:val="22"/>
        </w:rPr>
        <w:t xml:space="preserve">(Fallos 311:1795, 321:3508, 322:447). </w:t>
      </w:r>
      <w:r w:rsidR="00B10998">
        <w:rPr>
          <w:rFonts w:ascii="Arial" w:hAnsi="Arial" w:cs="Arial"/>
          <w:sz w:val="22"/>
          <w:szCs w:val="22"/>
        </w:rPr>
        <w:t>En nuestro modo de ver no cabe una solución general sino que habrá que analizar la ley local concreta y verificar si el Cód</w:t>
      </w:r>
      <w:r w:rsidR="00B10998">
        <w:rPr>
          <w:rFonts w:ascii="Arial" w:hAnsi="Arial" w:cs="Arial"/>
          <w:sz w:val="22"/>
          <w:szCs w:val="22"/>
        </w:rPr>
        <w:t>i</w:t>
      </w:r>
      <w:r w:rsidR="00B10998">
        <w:rPr>
          <w:rFonts w:ascii="Arial" w:hAnsi="Arial" w:cs="Arial"/>
          <w:sz w:val="22"/>
          <w:szCs w:val="22"/>
        </w:rPr>
        <w:t xml:space="preserve">go Civil y Comercial regula </w:t>
      </w:r>
      <w:r w:rsidR="002B5536">
        <w:rPr>
          <w:rFonts w:ascii="Arial" w:hAnsi="Arial" w:cs="Arial"/>
          <w:sz w:val="22"/>
          <w:szCs w:val="22"/>
        </w:rPr>
        <w:t xml:space="preserve">esa </w:t>
      </w:r>
      <w:r w:rsidR="00B10998">
        <w:rPr>
          <w:rFonts w:ascii="Arial" w:hAnsi="Arial" w:cs="Arial"/>
          <w:sz w:val="22"/>
          <w:szCs w:val="22"/>
        </w:rPr>
        <w:t xml:space="preserve">cuestión y </w:t>
      </w:r>
      <w:r w:rsidR="00FA6552">
        <w:rPr>
          <w:rFonts w:ascii="Arial" w:hAnsi="Arial" w:cs="Arial"/>
          <w:sz w:val="22"/>
          <w:szCs w:val="22"/>
        </w:rPr>
        <w:t>en su caso cómo lo hace</w:t>
      </w:r>
      <w:r w:rsidR="00B10998">
        <w:rPr>
          <w:rFonts w:ascii="Arial" w:hAnsi="Arial" w:cs="Arial"/>
          <w:sz w:val="22"/>
          <w:szCs w:val="22"/>
        </w:rPr>
        <w:t>.</w:t>
      </w:r>
    </w:p>
    <w:p w:rsidR="00243DD4" w:rsidRDefault="00B10998" w:rsidP="00436F08">
      <w:pPr>
        <w:pStyle w:val="Textosinformato"/>
        <w:spacing w:line="360" w:lineRule="auto"/>
        <w:ind w:firstLine="1985"/>
        <w:jc w:val="both"/>
        <w:rPr>
          <w:rFonts w:ascii="Arial" w:hAnsi="Arial" w:cs="Arial"/>
          <w:sz w:val="22"/>
          <w:szCs w:val="22"/>
        </w:rPr>
      </w:pPr>
      <w:r>
        <w:rPr>
          <w:rFonts w:ascii="Arial" w:hAnsi="Arial" w:cs="Arial"/>
          <w:sz w:val="22"/>
          <w:szCs w:val="22"/>
        </w:rPr>
        <w:t>En cuarto término, podría ocurrir que la solución del art. 2532 del Código Civil y Comercial se viralice, considerándose que las legislaturas locales pu</w:t>
      </w:r>
      <w:r>
        <w:rPr>
          <w:rFonts w:ascii="Arial" w:hAnsi="Arial" w:cs="Arial"/>
          <w:sz w:val="22"/>
          <w:szCs w:val="22"/>
        </w:rPr>
        <w:t>e</w:t>
      </w:r>
      <w:r>
        <w:rPr>
          <w:rFonts w:ascii="Arial" w:hAnsi="Arial" w:cs="Arial"/>
          <w:sz w:val="22"/>
          <w:szCs w:val="22"/>
        </w:rPr>
        <w:t>den regular los modos de extinción de las obligaciones tributarias sin otro límite que la razonabilidad.</w:t>
      </w:r>
      <w:r w:rsidR="00585621">
        <w:rPr>
          <w:rFonts w:ascii="Arial" w:hAnsi="Arial" w:cs="Arial"/>
          <w:sz w:val="22"/>
          <w:szCs w:val="22"/>
        </w:rPr>
        <w:t xml:space="preserve"> De todos modos, creemos que es la opción menos probable porque para que ello ocurr</w:t>
      </w:r>
      <w:r w:rsidR="00831253">
        <w:rPr>
          <w:rFonts w:ascii="Arial" w:hAnsi="Arial" w:cs="Arial"/>
          <w:sz w:val="22"/>
          <w:szCs w:val="22"/>
        </w:rPr>
        <w:t>ier</w:t>
      </w:r>
      <w:r w:rsidR="00585621">
        <w:rPr>
          <w:rFonts w:ascii="Arial" w:hAnsi="Arial" w:cs="Arial"/>
          <w:sz w:val="22"/>
          <w:szCs w:val="22"/>
        </w:rPr>
        <w:t>a deberían existir en el Código Civil y Comercial normas similares a la del art. 2532 para los otros modos de extinción de las  obligaciones tributarias.</w:t>
      </w:r>
    </w:p>
    <w:p w:rsidR="00B10998" w:rsidRPr="00243DD4" w:rsidRDefault="00B10998" w:rsidP="00436F08">
      <w:pPr>
        <w:pStyle w:val="Textosinformato"/>
        <w:spacing w:line="360" w:lineRule="auto"/>
        <w:ind w:firstLine="1985"/>
        <w:jc w:val="both"/>
        <w:rPr>
          <w:rFonts w:ascii="Arial" w:hAnsi="Arial" w:cs="Arial"/>
          <w:sz w:val="22"/>
          <w:szCs w:val="22"/>
        </w:rPr>
      </w:pPr>
      <w:r>
        <w:rPr>
          <w:rFonts w:ascii="Arial" w:hAnsi="Arial" w:cs="Arial"/>
          <w:sz w:val="22"/>
          <w:szCs w:val="22"/>
        </w:rPr>
        <w:t>En quinto lugar, y aunque luzca incongruente, esa diversidad</w:t>
      </w:r>
      <w:r w:rsidR="00EF1A1A">
        <w:rPr>
          <w:rFonts w:ascii="Arial" w:hAnsi="Arial" w:cs="Arial"/>
          <w:sz w:val="22"/>
          <w:szCs w:val="22"/>
        </w:rPr>
        <w:t xml:space="preserve"> en la regulación</w:t>
      </w:r>
      <w:r w:rsidR="002B5536">
        <w:rPr>
          <w:rFonts w:ascii="Arial" w:hAnsi="Arial" w:cs="Arial"/>
          <w:sz w:val="22"/>
          <w:szCs w:val="22"/>
        </w:rPr>
        <w:t xml:space="preserve"> (al menos para la prescripción)</w:t>
      </w:r>
      <w:r w:rsidR="00EF1A1A">
        <w:rPr>
          <w:rFonts w:ascii="Arial" w:hAnsi="Arial" w:cs="Arial"/>
          <w:sz w:val="22"/>
          <w:szCs w:val="22"/>
        </w:rPr>
        <w:t>, propia de la autonomía del derecho tribut</w:t>
      </w:r>
      <w:r w:rsidR="00EF1A1A">
        <w:rPr>
          <w:rFonts w:ascii="Arial" w:hAnsi="Arial" w:cs="Arial"/>
          <w:sz w:val="22"/>
          <w:szCs w:val="22"/>
        </w:rPr>
        <w:t>a</w:t>
      </w:r>
      <w:r w:rsidR="00EF1A1A">
        <w:rPr>
          <w:rFonts w:ascii="Arial" w:hAnsi="Arial" w:cs="Arial"/>
          <w:sz w:val="22"/>
          <w:szCs w:val="22"/>
        </w:rPr>
        <w:lastRenderedPageBreak/>
        <w:t>rio, puede generar inseguridad jurídica, en especial al sujeto que actúe en más de una jurisdicción tribut</w:t>
      </w:r>
      <w:r w:rsidR="00EF1A1A">
        <w:rPr>
          <w:rFonts w:ascii="Arial" w:hAnsi="Arial" w:cs="Arial"/>
          <w:sz w:val="22"/>
          <w:szCs w:val="22"/>
        </w:rPr>
        <w:t>a</w:t>
      </w:r>
      <w:r w:rsidR="00EF1A1A">
        <w:rPr>
          <w:rFonts w:ascii="Arial" w:hAnsi="Arial" w:cs="Arial"/>
          <w:sz w:val="22"/>
          <w:szCs w:val="22"/>
        </w:rPr>
        <w:t>ria.</w:t>
      </w:r>
    </w:p>
    <w:p w:rsidR="00B10237" w:rsidRDefault="00B10237" w:rsidP="00780C37">
      <w:pPr>
        <w:pStyle w:val="Textosinformato"/>
        <w:spacing w:line="360" w:lineRule="auto"/>
        <w:ind w:firstLine="1985"/>
        <w:jc w:val="both"/>
        <w:rPr>
          <w:rFonts w:ascii="Arial" w:hAnsi="Arial" w:cs="Arial"/>
          <w:sz w:val="22"/>
          <w:szCs w:val="22"/>
        </w:rPr>
      </w:pPr>
    </w:p>
    <w:p w:rsidR="00345F1D" w:rsidRPr="009A4F90" w:rsidRDefault="00345F1D" w:rsidP="00345F1D">
      <w:pPr>
        <w:pStyle w:val="Textosinformato"/>
        <w:spacing w:line="360" w:lineRule="auto"/>
        <w:ind w:firstLine="1985"/>
        <w:jc w:val="both"/>
        <w:rPr>
          <w:rFonts w:ascii="Arial" w:hAnsi="Arial" w:cs="Arial"/>
          <w:sz w:val="22"/>
          <w:szCs w:val="22"/>
        </w:rPr>
      </w:pPr>
    </w:p>
    <w:p w:rsidR="00234C06" w:rsidRPr="009A4F90" w:rsidRDefault="00234C06" w:rsidP="009A4F90">
      <w:pPr>
        <w:spacing w:line="360" w:lineRule="auto"/>
        <w:rPr>
          <w:rFonts w:ascii="Arial" w:hAnsi="Arial" w:cs="Arial"/>
          <w:sz w:val="22"/>
          <w:szCs w:val="22"/>
        </w:rPr>
      </w:pPr>
    </w:p>
    <w:sectPr w:rsidR="00234C06" w:rsidRPr="009A4F90">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C3B" w:rsidRDefault="009C1C3B" w:rsidP="00FA6552">
      <w:r>
        <w:separator/>
      </w:r>
    </w:p>
  </w:endnote>
  <w:endnote w:type="continuationSeparator" w:id="0">
    <w:p w:rsidR="009C1C3B" w:rsidRDefault="009C1C3B" w:rsidP="00FA6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966313"/>
      <w:docPartObj>
        <w:docPartGallery w:val="Page Numbers (Bottom of Page)"/>
        <w:docPartUnique/>
      </w:docPartObj>
    </w:sdtPr>
    <w:sdtContent>
      <w:p w:rsidR="00FA6552" w:rsidRDefault="00FA6552">
        <w:pPr>
          <w:pStyle w:val="Piedepgina"/>
          <w:jc w:val="right"/>
        </w:pPr>
        <w:r>
          <w:fldChar w:fldCharType="begin"/>
        </w:r>
        <w:r>
          <w:instrText>PAGE   \* MERGEFORMAT</w:instrText>
        </w:r>
        <w:r>
          <w:fldChar w:fldCharType="separate"/>
        </w:r>
        <w:r>
          <w:rPr>
            <w:noProof/>
          </w:rPr>
          <w:t>4</w:t>
        </w:r>
        <w:r>
          <w:fldChar w:fldCharType="end"/>
        </w:r>
      </w:p>
    </w:sdtContent>
  </w:sdt>
  <w:p w:rsidR="00FA6552" w:rsidRDefault="00FA65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C3B" w:rsidRDefault="009C1C3B" w:rsidP="00FA6552">
      <w:r>
        <w:separator/>
      </w:r>
    </w:p>
  </w:footnote>
  <w:footnote w:type="continuationSeparator" w:id="0">
    <w:p w:rsidR="009C1C3B" w:rsidRDefault="009C1C3B" w:rsidP="00FA6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90D2D"/>
    <w:multiLevelType w:val="hybridMultilevel"/>
    <w:tmpl w:val="ED883E5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F90"/>
    <w:rsid w:val="00067A5A"/>
    <w:rsid w:val="0011272C"/>
    <w:rsid w:val="00157936"/>
    <w:rsid w:val="00234C06"/>
    <w:rsid w:val="00243DD4"/>
    <w:rsid w:val="002561C8"/>
    <w:rsid w:val="002B36E1"/>
    <w:rsid w:val="002B5536"/>
    <w:rsid w:val="00345F1D"/>
    <w:rsid w:val="00436F08"/>
    <w:rsid w:val="00455BC8"/>
    <w:rsid w:val="004858A2"/>
    <w:rsid w:val="004B742A"/>
    <w:rsid w:val="004E77BC"/>
    <w:rsid w:val="004F0C9F"/>
    <w:rsid w:val="00585621"/>
    <w:rsid w:val="005A3461"/>
    <w:rsid w:val="00605B65"/>
    <w:rsid w:val="00681A63"/>
    <w:rsid w:val="00780C37"/>
    <w:rsid w:val="007E042D"/>
    <w:rsid w:val="007F5B0A"/>
    <w:rsid w:val="00831253"/>
    <w:rsid w:val="008F1BA8"/>
    <w:rsid w:val="009A4F90"/>
    <w:rsid w:val="009C1C3B"/>
    <w:rsid w:val="00A63BF6"/>
    <w:rsid w:val="00AB7D17"/>
    <w:rsid w:val="00B10237"/>
    <w:rsid w:val="00B10998"/>
    <w:rsid w:val="00BA2A4F"/>
    <w:rsid w:val="00BD1ED9"/>
    <w:rsid w:val="00D02296"/>
    <w:rsid w:val="00DC44B0"/>
    <w:rsid w:val="00EF1A1A"/>
    <w:rsid w:val="00F241E0"/>
    <w:rsid w:val="00F27D9D"/>
    <w:rsid w:val="00F31C9F"/>
    <w:rsid w:val="00F60E68"/>
    <w:rsid w:val="00FA65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9A4F90"/>
    <w:pPr>
      <w:spacing w:line="480" w:lineRule="auto"/>
      <w:ind w:firstLine="708"/>
      <w:jc w:val="both"/>
    </w:pPr>
  </w:style>
  <w:style w:type="character" w:customStyle="1" w:styleId="SangradetextonormalCar">
    <w:name w:val="Sangría de texto normal Car"/>
    <w:basedOn w:val="Fuentedeprrafopredeter"/>
    <w:link w:val="Sangradetextonormal"/>
    <w:rsid w:val="009A4F90"/>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9A4F90"/>
    <w:rPr>
      <w:rFonts w:ascii="Courier New" w:hAnsi="Courier New"/>
      <w:sz w:val="20"/>
      <w:szCs w:val="20"/>
    </w:rPr>
  </w:style>
  <w:style w:type="character" w:customStyle="1" w:styleId="TextosinformatoCar">
    <w:name w:val="Texto sin formato Car"/>
    <w:basedOn w:val="Fuentedeprrafopredeter"/>
    <w:link w:val="Textosinformato"/>
    <w:rsid w:val="009A4F90"/>
    <w:rPr>
      <w:rFonts w:ascii="Courier New" w:eastAsia="Times New Roman" w:hAnsi="Courier New" w:cs="Times New Roman"/>
      <w:sz w:val="20"/>
      <w:szCs w:val="20"/>
      <w:lang w:eastAsia="es-ES"/>
    </w:rPr>
  </w:style>
  <w:style w:type="paragraph" w:styleId="Textodebloque">
    <w:name w:val="Block Text"/>
    <w:basedOn w:val="Normal"/>
    <w:rsid w:val="009A4F90"/>
    <w:pPr>
      <w:spacing w:line="360" w:lineRule="auto"/>
      <w:ind w:left="567" w:right="567"/>
      <w:jc w:val="both"/>
    </w:pPr>
    <w:rPr>
      <w:rFonts w:ascii="Arial" w:hAnsi="Arial" w:cs="Arial"/>
      <w:sz w:val="18"/>
    </w:rPr>
  </w:style>
  <w:style w:type="character" w:customStyle="1" w:styleId="negritanovedades">
    <w:name w:val="negritanovedades"/>
    <w:basedOn w:val="Fuentedeprrafopredeter"/>
    <w:rsid w:val="00455BC8"/>
    <w:rPr>
      <w:b/>
      <w:bCs/>
    </w:rPr>
  </w:style>
  <w:style w:type="character" w:customStyle="1" w:styleId="rotulo1">
    <w:name w:val="rotulo1"/>
    <w:basedOn w:val="Fuentedeprrafopredeter"/>
    <w:rsid w:val="00455BC8"/>
    <w:rPr>
      <w:rFonts w:ascii="Verdana" w:hAnsi="Verdana" w:hint="default"/>
      <w:sz w:val="16"/>
      <w:szCs w:val="16"/>
    </w:rPr>
  </w:style>
  <w:style w:type="paragraph" w:customStyle="1" w:styleId="rotulonovedades1">
    <w:name w:val="rotulonovedades1"/>
    <w:basedOn w:val="Normal"/>
    <w:rsid w:val="00455BC8"/>
    <w:pPr>
      <w:ind w:left="105" w:right="105"/>
    </w:pPr>
    <w:rPr>
      <w:rFonts w:ascii="Verdana" w:hAnsi="Verdana" w:cs="Calibri"/>
      <w:sz w:val="16"/>
      <w:szCs w:val="16"/>
    </w:rPr>
  </w:style>
  <w:style w:type="character" w:customStyle="1" w:styleId="parte">
    <w:name w:val="parte"/>
    <w:basedOn w:val="Fuentedeprrafopredeter"/>
    <w:rsid w:val="00455BC8"/>
  </w:style>
  <w:style w:type="character" w:customStyle="1" w:styleId="tribunal">
    <w:name w:val="tribunal"/>
    <w:basedOn w:val="Fuentedeprrafopredeter"/>
    <w:rsid w:val="00455BC8"/>
  </w:style>
  <w:style w:type="character" w:customStyle="1" w:styleId="sala">
    <w:name w:val="sala"/>
    <w:basedOn w:val="Fuentedeprrafopredeter"/>
    <w:rsid w:val="00455BC8"/>
  </w:style>
  <w:style w:type="character" w:customStyle="1" w:styleId="fecha">
    <w:name w:val="fecha"/>
    <w:basedOn w:val="Fuentedeprrafopredeter"/>
    <w:rsid w:val="00455BC8"/>
  </w:style>
  <w:style w:type="paragraph" w:styleId="Textodeglobo">
    <w:name w:val="Balloon Text"/>
    <w:basedOn w:val="Normal"/>
    <w:link w:val="TextodegloboCar"/>
    <w:uiPriority w:val="99"/>
    <w:semiHidden/>
    <w:unhideWhenUsed/>
    <w:rsid w:val="00605B65"/>
    <w:rPr>
      <w:rFonts w:ascii="Tahoma" w:hAnsi="Tahoma" w:cs="Tahoma"/>
      <w:sz w:val="16"/>
      <w:szCs w:val="16"/>
    </w:rPr>
  </w:style>
  <w:style w:type="character" w:customStyle="1" w:styleId="TextodegloboCar">
    <w:name w:val="Texto de globo Car"/>
    <w:basedOn w:val="Fuentedeprrafopredeter"/>
    <w:link w:val="Textodeglobo"/>
    <w:uiPriority w:val="99"/>
    <w:semiHidden/>
    <w:rsid w:val="00605B65"/>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FA6552"/>
    <w:pPr>
      <w:tabs>
        <w:tab w:val="center" w:pos="4252"/>
        <w:tab w:val="right" w:pos="8504"/>
      </w:tabs>
    </w:pPr>
  </w:style>
  <w:style w:type="character" w:customStyle="1" w:styleId="EncabezadoCar">
    <w:name w:val="Encabezado Car"/>
    <w:basedOn w:val="Fuentedeprrafopredeter"/>
    <w:link w:val="Encabezado"/>
    <w:uiPriority w:val="99"/>
    <w:rsid w:val="00FA655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A6552"/>
    <w:pPr>
      <w:tabs>
        <w:tab w:val="center" w:pos="4252"/>
        <w:tab w:val="right" w:pos="8504"/>
      </w:tabs>
    </w:pPr>
  </w:style>
  <w:style w:type="character" w:customStyle="1" w:styleId="PiedepginaCar">
    <w:name w:val="Pie de página Car"/>
    <w:basedOn w:val="Fuentedeprrafopredeter"/>
    <w:link w:val="Piedepgina"/>
    <w:uiPriority w:val="99"/>
    <w:rsid w:val="00FA6552"/>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9A4F90"/>
    <w:pPr>
      <w:spacing w:line="480" w:lineRule="auto"/>
      <w:ind w:firstLine="708"/>
      <w:jc w:val="both"/>
    </w:pPr>
  </w:style>
  <w:style w:type="character" w:customStyle="1" w:styleId="SangradetextonormalCar">
    <w:name w:val="Sangría de texto normal Car"/>
    <w:basedOn w:val="Fuentedeprrafopredeter"/>
    <w:link w:val="Sangradetextonormal"/>
    <w:rsid w:val="009A4F90"/>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9A4F90"/>
    <w:rPr>
      <w:rFonts w:ascii="Courier New" w:hAnsi="Courier New"/>
      <w:sz w:val="20"/>
      <w:szCs w:val="20"/>
    </w:rPr>
  </w:style>
  <w:style w:type="character" w:customStyle="1" w:styleId="TextosinformatoCar">
    <w:name w:val="Texto sin formato Car"/>
    <w:basedOn w:val="Fuentedeprrafopredeter"/>
    <w:link w:val="Textosinformato"/>
    <w:rsid w:val="009A4F90"/>
    <w:rPr>
      <w:rFonts w:ascii="Courier New" w:eastAsia="Times New Roman" w:hAnsi="Courier New" w:cs="Times New Roman"/>
      <w:sz w:val="20"/>
      <w:szCs w:val="20"/>
      <w:lang w:eastAsia="es-ES"/>
    </w:rPr>
  </w:style>
  <w:style w:type="paragraph" w:styleId="Textodebloque">
    <w:name w:val="Block Text"/>
    <w:basedOn w:val="Normal"/>
    <w:rsid w:val="009A4F90"/>
    <w:pPr>
      <w:spacing w:line="360" w:lineRule="auto"/>
      <w:ind w:left="567" w:right="567"/>
      <w:jc w:val="both"/>
    </w:pPr>
    <w:rPr>
      <w:rFonts w:ascii="Arial" w:hAnsi="Arial" w:cs="Arial"/>
      <w:sz w:val="18"/>
    </w:rPr>
  </w:style>
  <w:style w:type="character" w:customStyle="1" w:styleId="negritanovedades">
    <w:name w:val="negritanovedades"/>
    <w:basedOn w:val="Fuentedeprrafopredeter"/>
    <w:rsid w:val="00455BC8"/>
    <w:rPr>
      <w:b/>
      <w:bCs/>
    </w:rPr>
  </w:style>
  <w:style w:type="character" w:customStyle="1" w:styleId="rotulo1">
    <w:name w:val="rotulo1"/>
    <w:basedOn w:val="Fuentedeprrafopredeter"/>
    <w:rsid w:val="00455BC8"/>
    <w:rPr>
      <w:rFonts w:ascii="Verdana" w:hAnsi="Verdana" w:hint="default"/>
      <w:sz w:val="16"/>
      <w:szCs w:val="16"/>
    </w:rPr>
  </w:style>
  <w:style w:type="paragraph" w:customStyle="1" w:styleId="rotulonovedades1">
    <w:name w:val="rotulonovedades1"/>
    <w:basedOn w:val="Normal"/>
    <w:rsid w:val="00455BC8"/>
    <w:pPr>
      <w:ind w:left="105" w:right="105"/>
    </w:pPr>
    <w:rPr>
      <w:rFonts w:ascii="Verdana" w:hAnsi="Verdana" w:cs="Calibri"/>
      <w:sz w:val="16"/>
      <w:szCs w:val="16"/>
    </w:rPr>
  </w:style>
  <w:style w:type="character" w:customStyle="1" w:styleId="parte">
    <w:name w:val="parte"/>
    <w:basedOn w:val="Fuentedeprrafopredeter"/>
    <w:rsid w:val="00455BC8"/>
  </w:style>
  <w:style w:type="character" w:customStyle="1" w:styleId="tribunal">
    <w:name w:val="tribunal"/>
    <w:basedOn w:val="Fuentedeprrafopredeter"/>
    <w:rsid w:val="00455BC8"/>
  </w:style>
  <w:style w:type="character" w:customStyle="1" w:styleId="sala">
    <w:name w:val="sala"/>
    <w:basedOn w:val="Fuentedeprrafopredeter"/>
    <w:rsid w:val="00455BC8"/>
  </w:style>
  <w:style w:type="character" w:customStyle="1" w:styleId="fecha">
    <w:name w:val="fecha"/>
    <w:basedOn w:val="Fuentedeprrafopredeter"/>
    <w:rsid w:val="00455BC8"/>
  </w:style>
  <w:style w:type="paragraph" w:styleId="Textodeglobo">
    <w:name w:val="Balloon Text"/>
    <w:basedOn w:val="Normal"/>
    <w:link w:val="TextodegloboCar"/>
    <w:uiPriority w:val="99"/>
    <w:semiHidden/>
    <w:unhideWhenUsed/>
    <w:rsid w:val="00605B65"/>
    <w:rPr>
      <w:rFonts w:ascii="Tahoma" w:hAnsi="Tahoma" w:cs="Tahoma"/>
      <w:sz w:val="16"/>
      <w:szCs w:val="16"/>
    </w:rPr>
  </w:style>
  <w:style w:type="character" w:customStyle="1" w:styleId="TextodegloboCar">
    <w:name w:val="Texto de globo Car"/>
    <w:basedOn w:val="Fuentedeprrafopredeter"/>
    <w:link w:val="Textodeglobo"/>
    <w:uiPriority w:val="99"/>
    <w:semiHidden/>
    <w:rsid w:val="00605B65"/>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FA6552"/>
    <w:pPr>
      <w:tabs>
        <w:tab w:val="center" w:pos="4252"/>
        <w:tab w:val="right" w:pos="8504"/>
      </w:tabs>
    </w:pPr>
  </w:style>
  <w:style w:type="character" w:customStyle="1" w:styleId="EncabezadoCar">
    <w:name w:val="Encabezado Car"/>
    <w:basedOn w:val="Fuentedeprrafopredeter"/>
    <w:link w:val="Encabezado"/>
    <w:uiPriority w:val="99"/>
    <w:rsid w:val="00FA655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A6552"/>
    <w:pPr>
      <w:tabs>
        <w:tab w:val="center" w:pos="4252"/>
        <w:tab w:val="right" w:pos="8504"/>
      </w:tabs>
    </w:pPr>
  </w:style>
  <w:style w:type="character" w:customStyle="1" w:styleId="PiedepginaCar">
    <w:name w:val="Pie de página Car"/>
    <w:basedOn w:val="Fuentedeprrafopredeter"/>
    <w:link w:val="Piedepgina"/>
    <w:uiPriority w:val="99"/>
    <w:rsid w:val="00FA655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976301">
      <w:bodyDiv w:val="1"/>
      <w:marLeft w:val="0"/>
      <w:marRight w:val="0"/>
      <w:marTop w:val="0"/>
      <w:marBottom w:val="0"/>
      <w:divBdr>
        <w:top w:val="none" w:sz="0" w:space="0" w:color="auto"/>
        <w:left w:val="none" w:sz="0" w:space="0" w:color="auto"/>
        <w:bottom w:val="none" w:sz="0" w:space="0" w:color="auto"/>
        <w:right w:val="none" w:sz="0" w:space="0" w:color="auto"/>
      </w:divBdr>
      <w:divsChild>
        <w:div w:id="799958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15AF8-EA87-4862-90CB-8E07935E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Pages>
  <Words>2874</Words>
  <Characters>15808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dc:creator>
  <cp:lastModifiedBy>Ariel</cp:lastModifiedBy>
  <cp:revision>18</cp:revision>
  <cp:lastPrinted>2015-10-26T13:30:00Z</cp:lastPrinted>
  <dcterms:created xsi:type="dcterms:W3CDTF">2015-10-23T20:30:00Z</dcterms:created>
  <dcterms:modified xsi:type="dcterms:W3CDTF">2015-10-26T13:32:00Z</dcterms:modified>
</cp:coreProperties>
</file>